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F79583">
      <w:pPr>
        <w:keepNext w:val="0"/>
        <w:keepLines w:val="0"/>
        <w:pageBreakBefore w:val="0"/>
        <w:widowControl w:val="0"/>
        <w:kinsoku/>
        <w:wordWrap/>
        <w:overflowPunct/>
        <w:topLinePunct w:val="0"/>
        <w:autoSpaceDE/>
        <w:autoSpaceDN/>
        <w:bidi w:val="0"/>
        <w:spacing w:line="578" w:lineRule="exact"/>
        <w:ind w:left="0" w:leftChars="0"/>
        <w:textAlignment w:val="auto"/>
        <w:rPr>
          <w:rFonts w:hint="eastAsia" w:ascii="黑体" w:hAnsi="黑体" w:eastAsia="黑体" w:cs="黑体"/>
          <w:highlight w:val="none"/>
          <w:lang w:val="en-US" w:eastAsia="zh-CN"/>
        </w:rPr>
      </w:pPr>
      <w:r>
        <w:rPr>
          <w:rFonts w:hint="eastAsia" w:ascii="黑体" w:hAnsi="黑体" w:eastAsia="黑体" w:cs="黑体"/>
          <w:highlight w:val="none"/>
        </w:rPr>
        <w:t>附件</w:t>
      </w:r>
      <w:r>
        <w:rPr>
          <w:rFonts w:hint="eastAsia" w:ascii="黑体" w:hAnsi="黑体" w:eastAsia="黑体" w:cs="黑体"/>
          <w:highlight w:val="none"/>
          <w:lang w:val="en-US" w:eastAsia="zh-CN"/>
        </w:rPr>
        <w:t>5</w:t>
      </w:r>
    </w:p>
    <w:p w14:paraId="4F65A9A8">
      <w:pPr>
        <w:keepNext w:val="0"/>
        <w:keepLines w:val="0"/>
        <w:pageBreakBefore w:val="0"/>
        <w:widowControl w:val="0"/>
        <w:kinsoku/>
        <w:wordWrap/>
        <w:overflowPunct/>
        <w:topLinePunct w:val="0"/>
        <w:autoSpaceDE/>
        <w:autoSpaceDN/>
        <w:bidi w:val="0"/>
        <w:adjustRightInd w:val="0"/>
        <w:snapToGrid w:val="0"/>
        <w:spacing w:line="570" w:lineRule="exact"/>
        <w:jc w:val="both"/>
        <w:textAlignment w:val="auto"/>
        <w:rPr>
          <w:rFonts w:hint="eastAsia" w:ascii="方正小标宋_GBK" w:hAnsi="方正小标宋_GBK" w:eastAsia="方正小标宋_GBK" w:cs="方正小标宋_GBK"/>
          <w:b w:val="0"/>
          <w:bCs w:val="0"/>
          <w:sz w:val="40"/>
          <w:szCs w:val="40"/>
          <w:lang w:val="en-US" w:eastAsia="zh-CN"/>
        </w:rPr>
      </w:pPr>
    </w:p>
    <w:p w14:paraId="04A34736">
      <w:pPr>
        <w:jc w:val="center"/>
        <w:rPr>
          <w:rFonts w:hint="eastAsia" w:ascii="方正小标宋_GBK" w:eastAsia="方正小标宋_GBK"/>
          <w:sz w:val="36"/>
          <w:szCs w:val="36"/>
        </w:rPr>
      </w:pPr>
      <w:r>
        <w:rPr>
          <w:rFonts w:hint="eastAsia" w:ascii="方正小标宋_GBK" w:eastAsia="方正小标宋_GBK"/>
          <w:sz w:val="36"/>
          <w:szCs w:val="36"/>
          <w:lang w:val="en-US" w:eastAsia="zh-CN"/>
        </w:rPr>
        <w:t>阿坝州阿坝等7县局森林草原防火综合治理建设项目项目绩效评估报告</w:t>
      </w:r>
    </w:p>
    <w:p w14:paraId="673B752D">
      <w:pPr>
        <w:keepNext w:val="0"/>
        <w:keepLines w:val="0"/>
        <w:pageBreakBefore w:val="0"/>
        <w:widowControl w:val="0"/>
        <w:kinsoku/>
        <w:wordWrap/>
        <w:overflowPunct/>
        <w:topLinePunct w:val="0"/>
        <w:autoSpaceDE/>
        <w:autoSpaceDN/>
        <w:bidi w:val="0"/>
        <w:adjustRightInd w:val="0"/>
        <w:snapToGrid w:val="0"/>
        <w:spacing w:line="570" w:lineRule="exact"/>
        <w:textAlignment w:val="auto"/>
        <w:rPr>
          <w:rFonts w:hint="eastAsia" w:ascii="黑体" w:hAnsi="宋体" w:eastAsia="黑体"/>
          <w:highlight w:val="none"/>
        </w:rPr>
      </w:pPr>
    </w:p>
    <w:p w14:paraId="62D18DB1">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ascii="黑体" w:hAnsi="宋体" w:eastAsia="黑体"/>
          <w:highlight w:val="none"/>
          <w:lang w:val="zh-CN"/>
        </w:rPr>
      </w:pPr>
      <w:r>
        <w:rPr>
          <w:rFonts w:hint="eastAsia" w:ascii="黑体" w:hAnsi="宋体" w:eastAsia="黑体"/>
          <w:highlight w:val="none"/>
        </w:rPr>
        <w:t>一、</w:t>
      </w:r>
      <w:r>
        <w:rPr>
          <w:rFonts w:hint="eastAsia" w:ascii="黑体" w:hAnsi="宋体" w:eastAsia="黑体"/>
          <w:highlight w:val="none"/>
          <w:lang w:val="zh-CN"/>
        </w:rPr>
        <w:t>项目概况</w:t>
      </w:r>
    </w:p>
    <w:p w14:paraId="68F4C370">
      <w:pPr>
        <w:ind w:firstLine="643" w:firstLineChars="200"/>
        <w:jc w:val="left"/>
        <w:rPr>
          <w:rFonts w:hint="default" w:ascii="仿宋_GB2312"/>
          <w:sz w:val="32"/>
          <w:szCs w:val="32"/>
          <w:lang w:val="en-US" w:eastAsia="zh-CN"/>
        </w:rPr>
      </w:pPr>
      <w:r>
        <w:rPr>
          <w:rFonts w:hint="eastAsia" w:ascii="楷体_GB2312" w:hAnsi="宋体" w:eastAsia="楷体_GB2312"/>
          <w:b/>
          <w:color w:val="auto"/>
          <w:sz w:val="32"/>
          <w:szCs w:val="32"/>
          <w:highlight w:val="none"/>
          <w:u w:val="none"/>
          <w:lang w:val="zh-CN"/>
        </w:rPr>
        <w:t>（一）设立背景及基本情况。</w:t>
      </w:r>
      <w:r>
        <w:rPr>
          <w:rFonts w:ascii="仿宋_GB2312" w:hAnsi="仿宋_GB2312" w:eastAsia="仿宋_GB2312" w:cs="仿宋_GB2312"/>
          <w:b w:val="0"/>
          <w:bCs w:val="0"/>
          <w:color w:val="000000"/>
          <w:sz w:val="31"/>
          <w:szCs w:val="31"/>
        </w:rPr>
        <w:t>根据《四川省财政厅关于下达生态保护修复专项2024年省第五批中央基建投资预算的通知》（川财建〔2024〕183号）和《阿坝州林业和草原局</w:t>
      </w:r>
      <w:r>
        <w:rPr>
          <w:rFonts w:hint="eastAsia" w:ascii="仿宋_GB2312" w:hAnsi="仿宋_GB2312" w:cs="仿宋_GB2312"/>
          <w:b w:val="0"/>
          <w:bCs w:val="0"/>
          <w:color w:val="000000"/>
          <w:sz w:val="31"/>
          <w:szCs w:val="31"/>
          <w:lang w:eastAsia="zh-CN"/>
        </w:rPr>
        <w:t>、</w:t>
      </w:r>
      <w:r>
        <w:rPr>
          <w:rFonts w:ascii="仿宋_GB2312" w:hAnsi="仿宋_GB2312" w:eastAsia="仿宋_GB2312" w:cs="仿宋_GB2312"/>
          <w:b w:val="0"/>
          <w:bCs w:val="0"/>
          <w:color w:val="000000"/>
          <w:sz w:val="31"/>
          <w:szCs w:val="31"/>
        </w:rPr>
        <w:t>阿坝州发展和改革委员会关于下达阿坝州阿坝等7县局森林草原防火综合治理建设项目资金的函》（阿州林草函〔2024〕106号）</w:t>
      </w:r>
      <w:r>
        <w:rPr>
          <w:rFonts w:hint="eastAsia" w:ascii="仿宋_GB2312" w:hAnsi="仿宋_GB2312" w:cs="仿宋_GB2312"/>
          <w:b w:val="0"/>
          <w:bCs w:val="0"/>
          <w:color w:val="000000"/>
          <w:sz w:val="31"/>
          <w:szCs w:val="31"/>
          <w:lang w:eastAsia="zh-CN"/>
        </w:rPr>
        <w:t>、</w:t>
      </w:r>
      <w:r>
        <w:rPr>
          <w:rFonts w:hint="eastAsia" w:ascii="仿宋_GB2312" w:hAnsi="仿宋_GB2312" w:cs="仿宋_GB2312"/>
          <w:b w:val="0"/>
          <w:bCs w:val="0"/>
          <w:color w:val="000000"/>
          <w:sz w:val="31"/>
          <w:szCs w:val="31"/>
          <w:lang w:val="en-US" w:eastAsia="zh-CN"/>
        </w:rPr>
        <w:t>阿坝州财政局《关于下达生态修复专项2024年第五批中央基建投资预算的通知》（阿州财资环</w:t>
      </w:r>
      <w:r>
        <w:rPr>
          <w:rFonts w:ascii="仿宋_GB2312" w:hAnsi="仿宋_GB2312" w:eastAsia="仿宋_GB2312" w:cs="仿宋_GB2312"/>
          <w:b w:val="0"/>
          <w:bCs w:val="0"/>
          <w:color w:val="000000"/>
          <w:sz w:val="31"/>
          <w:szCs w:val="31"/>
        </w:rPr>
        <w:t>〔2024〕</w:t>
      </w:r>
      <w:r>
        <w:rPr>
          <w:rFonts w:hint="eastAsia" w:ascii="仿宋_GB2312" w:hAnsi="仿宋_GB2312" w:cs="仿宋_GB2312"/>
          <w:b w:val="0"/>
          <w:bCs w:val="0"/>
          <w:color w:val="000000"/>
          <w:sz w:val="31"/>
          <w:szCs w:val="31"/>
          <w:lang w:val="en-US" w:eastAsia="zh-CN"/>
        </w:rPr>
        <w:t>38号）</w:t>
      </w:r>
      <w:r>
        <w:rPr>
          <w:rFonts w:hint="eastAsia" w:ascii="仿宋_GB2312"/>
          <w:sz w:val="32"/>
          <w:szCs w:val="32"/>
          <w:lang w:val="en-US" w:eastAsia="zh-CN"/>
        </w:rPr>
        <w:t>、</w:t>
      </w:r>
      <w:r>
        <w:rPr>
          <w:rFonts w:hint="eastAsia" w:ascii="仿宋_GB2312" w:hAnsi="仿宋_GB2312" w:eastAsia="仿宋_GB2312" w:cs="仿宋_GB2312"/>
          <w:b w:val="0"/>
          <w:bCs/>
          <w:color w:val="auto"/>
          <w:sz w:val="32"/>
          <w:szCs w:val="32"/>
          <w:highlight w:val="none"/>
          <w:u w:val="none"/>
          <w:lang w:val="en-US" w:eastAsia="zh-CN"/>
        </w:rPr>
        <w:t>阿坝州发展和改革委员会《关于</w:t>
      </w:r>
      <w:r>
        <w:rPr>
          <w:rFonts w:hint="eastAsia" w:ascii="仿宋_GB2312" w:hAnsi="仿宋_GB2312" w:cs="仿宋_GB2312"/>
          <w:b w:val="0"/>
          <w:bCs/>
          <w:color w:val="auto"/>
          <w:sz w:val="32"/>
          <w:szCs w:val="32"/>
          <w:highlight w:val="none"/>
          <w:u w:val="none"/>
          <w:lang w:val="en-US" w:eastAsia="zh-CN"/>
        </w:rPr>
        <w:t>四川省阿坝州阿坝等7县（局）森林草原防火综合治理工程建设项目初步设计及投资概算的批复</w:t>
      </w:r>
      <w:r>
        <w:rPr>
          <w:rFonts w:hint="eastAsia" w:ascii="仿宋_GB2312" w:hAnsi="仿宋_GB2312" w:eastAsia="仿宋_GB2312" w:cs="仿宋_GB2312"/>
          <w:b w:val="0"/>
          <w:bCs/>
          <w:color w:val="auto"/>
          <w:sz w:val="32"/>
          <w:szCs w:val="32"/>
          <w:highlight w:val="none"/>
          <w:u w:val="none"/>
          <w:lang w:val="en-US" w:eastAsia="zh-CN"/>
        </w:rPr>
        <w:t>》（阿州发改行审〔202</w:t>
      </w:r>
      <w:r>
        <w:rPr>
          <w:rFonts w:hint="eastAsia" w:ascii="仿宋_GB2312" w:hAnsi="仿宋_GB2312" w:cs="仿宋_GB2312"/>
          <w:b w:val="0"/>
          <w:bCs/>
          <w:color w:val="auto"/>
          <w:sz w:val="32"/>
          <w:szCs w:val="32"/>
          <w:highlight w:val="none"/>
          <w:u w:val="none"/>
          <w:lang w:val="en-US" w:eastAsia="zh-CN"/>
        </w:rPr>
        <w:t>4</w:t>
      </w:r>
      <w:r>
        <w:rPr>
          <w:rFonts w:hint="eastAsia" w:ascii="仿宋_GB2312" w:hAnsi="仿宋_GB2312" w:eastAsia="仿宋_GB2312" w:cs="仿宋_GB2312"/>
          <w:b w:val="0"/>
          <w:bCs/>
          <w:color w:val="auto"/>
          <w:sz w:val="32"/>
          <w:szCs w:val="32"/>
          <w:highlight w:val="none"/>
          <w:u w:val="none"/>
          <w:lang w:val="en-US" w:eastAsia="zh-CN"/>
        </w:rPr>
        <w:t>〕</w:t>
      </w:r>
      <w:r>
        <w:rPr>
          <w:rFonts w:hint="eastAsia" w:ascii="仿宋_GB2312" w:hAnsi="仿宋_GB2312" w:cs="仿宋_GB2312"/>
          <w:b w:val="0"/>
          <w:bCs/>
          <w:color w:val="auto"/>
          <w:sz w:val="32"/>
          <w:szCs w:val="32"/>
          <w:highlight w:val="none"/>
          <w:u w:val="none"/>
          <w:lang w:val="en-US" w:eastAsia="zh-CN"/>
        </w:rPr>
        <w:t>38</w:t>
      </w:r>
      <w:r>
        <w:rPr>
          <w:rFonts w:hint="eastAsia" w:ascii="仿宋_GB2312" w:hAnsi="仿宋_GB2312" w:eastAsia="仿宋_GB2312" w:cs="仿宋_GB2312"/>
          <w:b w:val="0"/>
          <w:bCs/>
          <w:color w:val="auto"/>
          <w:sz w:val="32"/>
          <w:szCs w:val="32"/>
          <w:highlight w:val="none"/>
          <w:u w:val="none"/>
          <w:lang w:val="en-US" w:eastAsia="zh-CN"/>
        </w:rPr>
        <w:t>号）</w:t>
      </w:r>
      <w:r>
        <w:rPr>
          <w:rFonts w:hint="eastAsia" w:ascii="仿宋_GB2312" w:hAnsi="仿宋_GB2312" w:cs="仿宋_GB2312"/>
          <w:b w:val="0"/>
          <w:bCs/>
          <w:color w:val="auto"/>
          <w:sz w:val="32"/>
          <w:szCs w:val="32"/>
          <w:highlight w:val="none"/>
          <w:u w:val="none"/>
          <w:lang w:val="en-US" w:eastAsia="zh-CN"/>
        </w:rPr>
        <w:t>文件要求，</w:t>
      </w:r>
      <w:r>
        <w:rPr>
          <w:rFonts w:hint="eastAsia" w:ascii="仿宋_GB2312" w:hAnsi="仿宋_GB2312" w:eastAsia="仿宋_GB2312" w:cs="仿宋_GB2312"/>
          <w:b w:val="0"/>
          <w:bCs/>
          <w:color w:val="auto"/>
          <w:sz w:val="32"/>
          <w:szCs w:val="32"/>
          <w:highlight w:val="none"/>
          <w:u w:val="none"/>
          <w:lang w:val="en-US" w:eastAsia="zh-CN"/>
        </w:rPr>
        <w:t>对该项目投资估算进行变更调整。</w:t>
      </w:r>
      <w:r>
        <w:rPr>
          <w:rFonts w:hint="eastAsia" w:ascii="仿宋_GB2312" w:hAnsi="仿宋_GB2312" w:cs="仿宋_GB2312"/>
          <w:b w:val="0"/>
          <w:bCs/>
          <w:color w:val="auto"/>
          <w:sz w:val="32"/>
          <w:szCs w:val="32"/>
          <w:highlight w:val="none"/>
          <w:u w:val="none"/>
          <w:lang w:val="en-US" w:eastAsia="zh-CN"/>
        </w:rPr>
        <w:t>项目概算投资3846.09万元，</w:t>
      </w:r>
      <w:r>
        <w:rPr>
          <w:rFonts w:hint="eastAsia" w:ascii="仿宋_GB2312"/>
          <w:sz w:val="32"/>
          <w:szCs w:val="32"/>
          <w:lang w:val="en-US" w:eastAsia="zh-CN"/>
        </w:rPr>
        <w:t>下达中央预算内投资3093万元，地方配套753.09万元。阿坝州林业和草原局负责组织实施。</w:t>
      </w:r>
    </w:p>
    <w:p w14:paraId="574BF7D8">
      <w:pPr>
        <w:ind w:firstLine="643" w:firstLineChars="200"/>
        <w:jc w:val="left"/>
        <w:rPr>
          <w:rFonts w:hint="eastAsia" w:ascii="仿宋_GB2312"/>
          <w:sz w:val="32"/>
          <w:szCs w:val="32"/>
          <w:lang w:val="en-US" w:eastAsia="zh-CN"/>
        </w:rPr>
      </w:pPr>
      <w:r>
        <w:rPr>
          <w:rFonts w:hint="eastAsia" w:ascii="仿宋_GB2312"/>
          <w:b/>
          <w:bCs/>
          <w:sz w:val="32"/>
          <w:szCs w:val="32"/>
          <w:lang w:val="zh-CN" w:eastAsia="zh-CN"/>
        </w:rPr>
        <w:t>（二）</w:t>
      </w:r>
      <w:r>
        <w:rPr>
          <w:rFonts w:hint="default" w:ascii="仿宋_GB2312"/>
          <w:b/>
          <w:bCs/>
          <w:sz w:val="32"/>
          <w:szCs w:val="32"/>
          <w:lang w:val="en-US" w:eastAsia="zh-CN"/>
        </w:rPr>
        <w:t>实施目的及支持方向</w:t>
      </w:r>
      <w:r>
        <w:rPr>
          <w:rFonts w:hint="eastAsia" w:ascii="仿宋_GB2312"/>
          <w:b/>
          <w:bCs/>
          <w:sz w:val="32"/>
          <w:szCs w:val="32"/>
          <w:lang w:val="en-US" w:eastAsia="zh-CN"/>
        </w:rPr>
        <w:t>。</w:t>
      </w:r>
      <w:r>
        <w:rPr>
          <w:rFonts w:hint="eastAsia" w:ascii="仿宋_GB2312"/>
          <w:sz w:val="32"/>
          <w:szCs w:val="32"/>
          <w:lang w:val="en-US" w:eastAsia="zh-CN"/>
        </w:rPr>
        <w:t>通过项目实施，将有助于提高项目区对进入森林草原区域的车辆及行人宣传的自动化、数字化水平，提高项目区森林草原火险预警监测能力、火场机动应急通信能力和消防队伍快速反应能力，提升项目区森林草原防灭火综合防控能力，有效降低草原火灾的发生率和危害率。</w:t>
      </w:r>
    </w:p>
    <w:p w14:paraId="1D7C74C8">
      <w:pPr>
        <w:ind w:firstLine="643" w:firstLineChars="200"/>
        <w:jc w:val="left"/>
        <w:rPr>
          <w:rFonts w:hint="default" w:ascii="楷体_GB2312" w:hAnsi="宋体" w:eastAsia="楷体_GB2312" w:cs="Times New Roman"/>
          <w:b/>
          <w:color w:val="auto"/>
          <w:sz w:val="32"/>
          <w:szCs w:val="32"/>
          <w:highlight w:val="none"/>
          <w:u w:val="none"/>
          <w:lang w:val="en-US" w:eastAsia="zh-CN"/>
        </w:rPr>
      </w:pPr>
      <w:r>
        <w:rPr>
          <w:rFonts w:hint="eastAsia" w:ascii="仿宋_GB2312"/>
          <w:b/>
          <w:bCs/>
          <w:sz w:val="32"/>
          <w:szCs w:val="32"/>
          <w:lang w:val="zh-CN" w:eastAsia="zh-CN"/>
        </w:rPr>
        <w:t>（三）</w:t>
      </w:r>
      <w:r>
        <w:rPr>
          <w:rFonts w:hint="default" w:ascii="仿宋_GB2312"/>
          <w:b/>
          <w:bCs/>
          <w:sz w:val="32"/>
          <w:szCs w:val="32"/>
          <w:lang w:val="en-US" w:eastAsia="zh-CN"/>
        </w:rPr>
        <w:t>预算安排及分配管理</w:t>
      </w:r>
      <w:r>
        <w:rPr>
          <w:rFonts w:hint="eastAsia" w:ascii="仿宋_GB2312"/>
          <w:b/>
          <w:bCs/>
          <w:sz w:val="32"/>
          <w:szCs w:val="32"/>
          <w:lang w:val="zh-CN" w:eastAsia="zh-CN"/>
        </w:rPr>
        <w:t>。</w:t>
      </w:r>
      <w:r>
        <w:rPr>
          <w:rFonts w:hint="eastAsia" w:ascii="仿宋_GB2312" w:hAnsi="仿宋_GB2312" w:cs="仿宋_GB2312"/>
          <w:b w:val="0"/>
          <w:bCs/>
          <w:color w:val="auto"/>
          <w:sz w:val="32"/>
          <w:szCs w:val="32"/>
          <w:highlight w:val="none"/>
          <w:u w:val="none"/>
          <w:lang w:val="en-US" w:eastAsia="zh-CN"/>
        </w:rPr>
        <w:t>项目概算投资3846.09万元，</w:t>
      </w:r>
      <w:r>
        <w:rPr>
          <w:rFonts w:hint="eastAsia" w:ascii="仿宋_GB2312"/>
          <w:sz w:val="32"/>
          <w:szCs w:val="32"/>
          <w:lang w:val="en-US" w:eastAsia="zh-CN"/>
        </w:rPr>
        <w:t>下达中央预算内投资3093万元，地方配套753.09万元。其中，阿坝县中央预算内投资626万元、若尔盖县中央预算内投资535万元、红原县中央预算内投资526万元、壤塘县中央预算内投资434万元、壤塘国有林保护局中央预算内投资382万元、玉龙国有林保护局中央预算内投资258万元、岷江国有林保护局中央预算内投资332万元；主要用于新建林草火情视频监控系统44套、智能卡口70个、林牧区语音警示播报系统70套;购置巡护宣传无人机26台。购置高压接力水泵140台、油锯（低把）140台、割灌机140台、数字对讲机110套、便携式卫星通信系统11套、林业手持巡护型终端290套。</w:t>
      </w:r>
    </w:p>
    <w:p w14:paraId="051E9CC4">
      <w:pPr>
        <w:adjustRightInd w:val="0"/>
        <w:snapToGrid w:val="0"/>
        <w:spacing w:line="540" w:lineRule="exact"/>
        <w:ind w:firstLine="643" w:firstLineChars="200"/>
        <w:rPr>
          <w:rFonts w:hint="default" w:ascii="仿宋_GB2312" w:hAnsi="仿宋_GB2312" w:eastAsia="仿宋_GB2312" w:cs="宋体"/>
          <w:color w:val="000000" w:themeColor="text1"/>
          <w:kern w:val="0"/>
          <w:sz w:val="32"/>
          <w:szCs w:val="32"/>
          <w:highlight w:val="none"/>
          <w:u w:val="none"/>
          <w:shd w:val="clear" w:color="auto" w:fill="FFFFFF"/>
          <w:lang w:val="en-US" w:eastAsia="zh-CN"/>
          <w14:textFill>
            <w14:solidFill>
              <w14:schemeClr w14:val="tx1"/>
            </w14:solidFill>
          </w14:textFill>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cs="仿宋_GB2312"/>
          <w:sz w:val="32"/>
          <w:szCs w:val="32"/>
          <w:lang w:val="en-US" w:eastAsia="zh-CN" w:bidi="ar-SA"/>
        </w:rPr>
        <w:t>严格按照</w:t>
      </w:r>
      <w:r>
        <w:rPr>
          <w:rFonts w:hint="eastAsia" w:ascii="仿宋_GB2312" w:hAnsi="仿宋_GB2312" w:cs="仿宋_GB2312"/>
          <w:color w:val="000000" w:themeColor="text1"/>
          <w:kern w:val="0"/>
          <w:sz w:val="32"/>
          <w:szCs w:val="32"/>
          <w:highlight w:val="none"/>
          <w:u w:val="none"/>
          <w:shd w:val="clear" w:color="auto" w:fill="FFFFFF"/>
          <w:lang w:val="zh-CN" w:eastAsia="zh-CN"/>
          <w14:textFill>
            <w14:solidFill>
              <w14:schemeClr w14:val="tx1"/>
            </w14:solidFill>
          </w14:textFill>
        </w:rPr>
        <w:t>项目整体、区域和具体绩效目标设置情况，项目自评开展工作。</w:t>
      </w:r>
    </w:p>
    <w:p w14:paraId="1723BF93">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outlineLvl w:val="9"/>
        <w:rPr>
          <w:rFonts w:hint="eastAsia" w:ascii="黑体" w:hAnsi="宋体" w:eastAsia="黑体"/>
          <w:highlight w:val="none"/>
          <w:lang w:eastAsia="zh-CN"/>
        </w:rPr>
      </w:pPr>
      <w:r>
        <w:rPr>
          <w:rFonts w:hint="eastAsia" w:ascii="黑体" w:hAnsi="宋体" w:eastAsia="黑体"/>
          <w:highlight w:val="none"/>
        </w:rPr>
        <w:t>二、</w:t>
      </w:r>
      <w:r>
        <w:rPr>
          <w:rFonts w:hint="eastAsia" w:ascii="黑体" w:hAnsi="宋体" w:eastAsia="黑体"/>
          <w:highlight w:val="none"/>
          <w:lang w:eastAsia="zh-CN"/>
        </w:rPr>
        <w:t>评价实施</w:t>
      </w:r>
    </w:p>
    <w:p w14:paraId="0022AE70">
      <w:pPr>
        <w:keepNext w:val="0"/>
        <w:keepLines w:val="0"/>
        <w:pageBreakBefore w:val="0"/>
        <w:widowControl w:val="0"/>
        <w:kinsoku/>
        <w:wordWrap/>
        <w:overflowPunct/>
        <w:topLinePunct w:val="0"/>
        <w:autoSpaceDE/>
        <w:autoSpaceDN/>
        <w:bidi w:val="0"/>
        <w:spacing w:line="578" w:lineRule="exact"/>
        <w:ind w:firstLine="640"/>
        <w:textAlignment w:val="auto"/>
        <w:outlineLvl w:val="1"/>
        <w:rPr>
          <w:rFonts w:eastAsia="仿宋_GB2312" w:cs="Times New Roman"/>
          <w:szCs w:val="32"/>
        </w:rPr>
      </w:pPr>
      <w:r>
        <w:rPr>
          <w:rFonts w:hint="eastAsia" w:ascii="楷体_GB2312" w:hAnsi="宋体" w:eastAsia="楷体_GB2312"/>
          <w:b/>
          <w:color w:val="auto"/>
          <w:sz w:val="32"/>
          <w:szCs w:val="32"/>
          <w:highlight w:val="none"/>
          <w:u w:val="none"/>
          <w:lang w:val="zh-CN"/>
        </w:rPr>
        <w:t>（一）评价目的。</w:t>
      </w:r>
      <w:r>
        <w:rPr>
          <w:rFonts w:hint="eastAsia" w:eastAsia="仿宋_GB2312" w:cs="Times New Roman"/>
          <w:szCs w:val="32"/>
        </w:rPr>
        <w:t>积累项目资金管理的经验，发现项目资金管理中存在的问题，健全和完善支出项目和资金使用管理办法，完善预算编制、加强绩效目标管理和绩效考核工作提供重要的参考依据，以及提出相关的建议和应采取的措施等。</w:t>
      </w:r>
    </w:p>
    <w:p w14:paraId="13F4495F">
      <w:pPr>
        <w:keepNext w:val="0"/>
        <w:keepLines w:val="0"/>
        <w:pageBreakBefore w:val="0"/>
        <w:widowControl w:val="0"/>
        <w:kinsoku/>
        <w:wordWrap/>
        <w:overflowPunct/>
        <w:topLinePunct w:val="0"/>
        <w:autoSpaceDE/>
        <w:autoSpaceDN/>
        <w:bidi w:val="0"/>
        <w:adjustRightInd w:val="0"/>
        <w:snapToGrid w:val="0"/>
        <w:spacing w:line="570" w:lineRule="exact"/>
        <w:ind w:left="0" w:leftChars="0" w:firstLine="643" w:firstLineChars="200"/>
        <w:textAlignment w:val="auto"/>
        <w:outlineLvl w:val="9"/>
        <w:rPr>
          <w:rFonts w:hint="default" w:cs="Times New Roman"/>
          <w:szCs w:val="32"/>
          <w:lang w:val="en-US" w:eastAsia="zh-CN"/>
        </w:rPr>
      </w:pPr>
      <w:r>
        <w:rPr>
          <w:rFonts w:hint="eastAsia" w:ascii="楷体_GB2312" w:hAnsi="宋体" w:eastAsia="楷体_GB2312"/>
          <w:b/>
          <w:color w:val="auto"/>
          <w:sz w:val="32"/>
          <w:szCs w:val="32"/>
          <w:highlight w:val="none"/>
          <w:u w:val="none"/>
          <w:lang w:val="zh-CN"/>
        </w:rPr>
        <w:t>（二）预设问题及评价重点。</w:t>
      </w:r>
      <w:r>
        <w:rPr>
          <w:rFonts w:hint="eastAsia" w:ascii="仿宋_GB2312" w:hAnsi="仿宋_GB2312" w:eastAsia="仿宋_GB2312" w:cs="仿宋_GB2312"/>
          <w:b w:val="0"/>
          <w:bCs/>
          <w:color w:val="auto"/>
          <w:sz w:val="32"/>
          <w:szCs w:val="32"/>
          <w:highlight w:val="none"/>
          <w:u w:val="none"/>
          <w:lang w:val="en-US" w:eastAsia="zh-CN"/>
        </w:rPr>
        <w:t>严格</w:t>
      </w:r>
      <w:r>
        <w:rPr>
          <w:rFonts w:hint="eastAsia" w:eastAsia="仿宋_GB2312" w:cs="Times New Roman"/>
          <w:szCs w:val="32"/>
        </w:rPr>
        <w:t>按照绩效评价指标体系，对资金支出使用全过程及其实施效果进行综合评价和判断</w:t>
      </w:r>
      <w:r>
        <w:rPr>
          <w:rFonts w:hint="eastAsia" w:eastAsia="仿宋_GB2312" w:cs="Times New Roman"/>
          <w:szCs w:val="32"/>
          <w:lang w:eastAsia="zh-CN"/>
        </w:rPr>
        <w:t>。</w:t>
      </w:r>
    </w:p>
    <w:p w14:paraId="15297D82">
      <w:pPr>
        <w:keepNext w:val="0"/>
        <w:keepLines w:val="0"/>
        <w:pageBreakBefore w:val="0"/>
        <w:widowControl w:val="0"/>
        <w:kinsoku/>
        <w:wordWrap/>
        <w:overflowPunct/>
        <w:topLinePunct w:val="0"/>
        <w:autoSpaceDE/>
        <w:autoSpaceDN/>
        <w:bidi w:val="0"/>
        <w:adjustRightInd w:val="0"/>
        <w:snapToGrid w:val="0"/>
        <w:spacing w:line="570" w:lineRule="exact"/>
        <w:ind w:left="0" w:leftChars="0" w:firstLine="643" w:firstLineChars="200"/>
        <w:textAlignment w:val="auto"/>
        <w:outlineLvl w:val="9"/>
        <w:rPr>
          <w:rFonts w:hint="default" w:cs="Times New Roman"/>
          <w:szCs w:val="32"/>
          <w:lang w:val="en-US" w:eastAsia="zh-CN"/>
        </w:rPr>
      </w:pPr>
      <w:r>
        <w:rPr>
          <w:rFonts w:hint="eastAsia" w:ascii="楷体_GB2312" w:hAnsi="宋体" w:eastAsia="楷体_GB2312"/>
          <w:b/>
          <w:color w:val="auto"/>
          <w:sz w:val="32"/>
          <w:szCs w:val="32"/>
          <w:highlight w:val="none"/>
          <w:u w:val="none"/>
          <w:lang w:val="zh-CN"/>
        </w:rPr>
        <w:t>（三）评价选点。</w:t>
      </w:r>
      <w:r>
        <w:rPr>
          <w:rFonts w:hint="eastAsia" w:ascii="仿宋_GB2312" w:hAnsi="仿宋_GB2312" w:cs="仿宋_GB2312"/>
          <w:b w:val="0"/>
          <w:bCs/>
          <w:color w:val="auto"/>
          <w:sz w:val="32"/>
          <w:szCs w:val="32"/>
          <w:highlight w:val="none"/>
          <w:u w:val="none"/>
          <w:lang w:val="en-US" w:eastAsia="zh-CN"/>
        </w:rPr>
        <w:t>马尔康市</w:t>
      </w:r>
    </w:p>
    <w:p w14:paraId="6F5CCF4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cs="仿宋_GB2312"/>
          <w:color w:val="auto"/>
          <w:highlight w:val="none"/>
          <w:lang w:val="zh-CN"/>
        </w:rPr>
      </w:pPr>
      <w:r>
        <w:rPr>
          <w:rFonts w:hint="eastAsia" w:ascii="楷体_GB2312" w:hAnsi="宋体" w:eastAsia="楷体_GB2312"/>
          <w:b/>
          <w:color w:val="auto"/>
          <w:sz w:val="32"/>
          <w:szCs w:val="32"/>
          <w:highlight w:val="none"/>
          <w:u w:val="none"/>
          <w:lang w:val="zh-CN"/>
        </w:rPr>
        <w:t>（四）评价方法。</w:t>
      </w:r>
      <w:r>
        <w:rPr>
          <w:rFonts w:ascii="仿宋_GB2312" w:eastAsia="仿宋_GB2312" w:cs="仿宋_GB2312"/>
          <w:color w:val="auto"/>
          <w:highlight w:val="none"/>
          <w:lang w:val="zh-CN"/>
        </w:rPr>
        <w:t>项目采取自评</w:t>
      </w:r>
      <w:r>
        <w:rPr>
          <w:rFonts w:hint="eastAsia" w:ascii="仿宋_GB2312" w:cs="仿宋_GB2312"/>
          <w:color w:val="auto"/>
          <w:highlight w:val="none"/>
          <w:lang w:val="zh-CN"/>
        </w:rPr>
        <w:t>的</w:t>
      </w:r>
      <w:r>
        <w:rPr>
          <w:rFonts w:ascii="仿宋_GB2312" w:eastAsia="仿宋_GB2312" w:cs="仿宋_GB2312"/>
          <w:color w:val="auto"/>
          <w:highlight w:val="none"/>
          <w:lang w:val="zh-CN"/>
        </w:rPr>
        <w:t>方式，结合评价内容，做到有计划</w:t>
      </w:r>
      <w:r>
        <w:rPr>
          <w:rFonts w:hint="eastAsia" w:ascii="仿宋_GB2312" w:eastAsia="仿宋_GB2312" w:cs="仿宋_GB2312"/>
          <w:color w:val="auto"/>
          <w:highlight w:val="none"/>
          <w:lang w:val="zh-CN"/>
        </w:rPr>
        <w:t>、</w:t>
      </w:r>
      <w:r>
        <w:rPr>
          <w:rFonts w:ascii="仿宋_GB2312" w:eastAsia="仿宋_GB2312" w:cs="仿宋_GB2312"/>
          <w:color w:val="auto"/>
          <w:highlight w:val="none"/>
          <w:lang w:val="zh-CN"/>
        </w:rPr>
        <w:t>有安排，扎实开展本次自评工作。按照项目支出绩效评价指标体系，对</w:t>
      </w:r>
      <w:r>
        <w:rPr>
          <w:rFonts w:hint="eastAsia" w:ascii="仿宋_GB2312" w:cs="仿宋_GB2312"/>
          <w:color w:val="auto"/>
          <w:highlight w:val="none"/>
          <w:lang w:val="en-US" w:eastAsia="zh-CN"/>
        </w:rPr>
        <w:t>建设</w:t>
      </w:r>
      <w:r>
        <w:rPr>
          <w:rFonts w:ascii="仿宋_GB2312" w:eastAsia="仿宋_GB2312" w:cs="仿宋_GB2312"/>
          <w:color w:val="auto"/>
          <w:highlight w:val="none"/>
          <w:lang w:val="zh-CN"/>
        </w:rPr>
        <w:t>内容、实施情况、资金兑现、财务管理、社会效益等做出自我评价</w:t>
      </w:r>
      <w:r>
        <w:rPr>
          <w:rFonts w:hint="eastAsia" w:ascii="仿宋_GB2312" w:cs="仿宋_GB2312"/>
          <w:color w:val="auto"/>
          <w:highlight w:val="none"/>
          <w:lang w:val="zh-CN"/>
        </w:rPr>
        <w:t>。</w:t>
      </w:r>
    </w:p>
    <w:p w14:paraId="67A9D3E2">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仿宋_GB2312" w:hAnsi="仿宋_GB2312" w:eastAsia="仿宋_GB2312" w:cs="仿宋_GB2312"/>
          <w:b w:val="0"/>
          <w:bCs/>
          <w:lang w:val="en-US" w:eastAsia="zh-CN"/>
        </w:rPr>
      </w:pPr>
      <w:r>
        <w:rPr>
          <w:rFonts w:hint="eastAsia" w:ascii="楷体_GB2312" w:hAnsi="宋体" w:eastAsia="楷体_GB2312"/>
          <w:b/>
          <w:color w:val="auto"/>
          <w:sz w:val="32"/>
          <w:szCs w:val="32"/>
          <w:highlight w:val="none"/>
          <w:u w:val="none"/>
          <w:lang w:val="zh-CN"/>
        </w:rPr>
        <w:t>（五）评价组织。</w:t>
      </w:r>
      <w:r>
        <w:rPr>
          <w:rFonts w:hint="eastAsia" w:ascii="仿宋_GB2312" w:hAnsi="仿宋_GB2312" w:eastAsia="仿宋_GB2312" w:cs="仿宋_GB2312"/>
          <w:b w:val="0"/>
          <w:bCs/>
          <w:color w:val="auto"/>
          <w:sz w:val="32"/>
          <w:szCs w:val="32"/>
          <w:highlight w:val="none"/>
          <w:u w:val="none"/>
          <w:lang w:val="en-US" w:eastAsia="zh-CN"/>
        </w:rPr>
        <w:t>评价组人员由单位负责人、分管领导及业务科室负责人组成；单位负责人牵头负责，分管领导组织业务科室自行评价。</w:t>
      </w:r>
      <w:r>
        <w:rPr>
          <w:rFonts w:hint="eastAsia" w:ascii="仿宋_GB2312" w:cs="仿宋_GB2312"/>
          <w:color w:val="auto"/>
          <w:highlight w:val="none"/>
          <w:lang w:val="zh-CN"/>
        </w:rPr>
        <w:t>自评结果报</w:t>
      </w:r>
      <w:r>
        <w:rPr>
          <w:rFonts w:hint="eastAsia" w:ascii="仿宋_GB2312" w:cs="仿宋_GB2312"/>
          <w:color w:val="auto"/>
          <w:highlight w:val="none"/>
          <w:lang w:val="en-US" w:eastAsia="zh-CN"/>
        </w:rPr>
        <w:t>省</w:t>
      </w:r>
      <w:r>
        <w:rPr>
          <w:rFonts w:hint="eastAsia" w:ascii="仿宋_GB2312" w:cs="仿宋_GB2312"/>
          <w:color w:val="auto"/>
          <w:highlight w:val="none"/>
          <w:lang w:val="zh-CN"/>
        </w:rPr>
        <w:t>林业和草原局，</w:t>
      </w:r>
      <w:r>
        <w:rPr>
          <w:rFonts w:hint="eastAsia" w:ascii="仿宋_GB2312" w:cs="仿宋_GB2312"/>
          <w:color w:val="auto"/>
          <w:highlight w:val="none"/>
          <w:lang w:val="en-US" w:eastAsia="zh-CN"/>
        </w:rPr>
        <w:t>并</w:t>
      </w:r>
      <w:r>
        <w:rPr>
          <w:rFonts w:hint="eastAsia" w:ascii="仿宋_GB2312" w:cs="仿宋_GB2312"/>
          <w:color w:val="auto"/>
          <w:highlight w:val="none"/>
          <w:lang w:val="zh-CN"/>
        </w:rPr>
        <w:t>结合指标体系认真</w:t>
      </w:r>
      <w:r>
        <w:rPr>
          <w:rFonts w:ascii="仿宋_GB2312" w:eastAsia="仿宋_GB2312" w:cs="仿宋_GB2312"/>
          <w:color w:val="auto"/>
          <w:highlight w:val="none"/>
          <w:lang w:val="zh-CN"/>
        </w:rPr>
        <w:t>做好</w:t>
      </w:r>
      <w:r>
        <w:rPr>
          <w:rFonts w:hint="eastAsia" w:ascii="仿宋_GB2312" w:cs="仿宋_GB2312"/>
          <w:color w:val="auto"/>
          <w:highlight w:val="none"/>
          <w:lang w:val="en-US" w:eastAsia="zh-CN"/>
        </w:rPr>
        <w:t>汇总</w:t>
      </w:r>
      <w:r>
        <w:rPr>
          <w:rFonts w:ascii="仿宋_GB2312" w:eastAsia="仿宋_GB2312" w:cs="仿宋_GB2312"/>
          <w:color w:val="auto"/>
          <w:highlight w:val="none"/>
          <w:lang w:val="zh-CN"/>
        </w:rPr>
        <w:t>自评工作。</w:t>
      </w:r>
    </w:p>
    <w:p w14:paraId="53AF384E">
      <w:pPr>
        <w:keepNext w:val="0"/>
        <w:keepLines w:val="0"/>
        <w:pageBreakBefore w:val="0"/>
        <w:kinsoku/>
        <w:wordWrap/>
        <w:overflowPunct/>
        <w:topLinePunct w:val="0"/>
        <w:autoSpaceDE/>
        <w:autoSpaceDN/>
        <w:bidi w:val="0"/>
        <w:adjustRightInd w:val="0"/>
        <w:snapToGrid w:val="0"/>
        <w:spacing w:line="570" w:lineRule="exact"/>
        <w:ind w:firstLine="640" w:firstLineChars="200"/>
        <w:textAlignment w:val="auto"/>
        <w:rPr>
          <w:rFonts w:ascii="仿宋_GB2312" w:hAnsi="宋体"/>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color w:val="auto"/>
          <w:sz w:val="32"/>
          <w:szCs w:val="32"/>
          <w:highlight w:val="none"/>
          <w:u w:val="none"/>
          <w:lang w:val="zh-CN"/>
        </w:rPr>
        <w:tab/>
      </w:r>
    </w:p>
    <w:p w14:paraId="31534F4C">
      <w:pPr>
        <w:keepNext w:val="0"/>
        <w:keepLines w:val="0"/>
        <w:pageBreakBefore w:val="0"/>
        <w:widowControl w:val="0"/>
        <w:kinsoku/>
        <w:wordWrap/>
        <w:overflowPunct/>
        <w:topLinePunct w:val="0"/>
        <w:autoSpaceDE/>
        <w:autoSpaceDN/>
        <w:bidi w:val="0"/>
        <w:spacing w:line="570" w:lineRule="exact"/>
        <w:ind w:firstLine="640"/>
        <w:textAlignment w:val="auto"/>
        <w:outlineLvl w:val="9"/>
        <w:rPr>
          <w:rFonts w:hint="eastAsia" w:eastAsia="仿宋_GB2312" w:cs="Times New Roman"/>
          <w:szCs w:val="32"/>
          <w:lang w:val="en-US" w:eastAsia="zh-CN"/>
        </w:rPr>
      </w:pPr>
      <w:r>
        <w:rPr>
          <w:rFonts w:hint="default" w:eastAsia="仿宋_GB2312" w:cs="Times New Roman"/>
          <w:szCs w:val="32"/>
          <w:lang w:val="zh-CN" w:eastAsia="zh-CN"/>
        </w:rPr>
        <w:t>根据</w:t>
      </w:r>
      <w:r>
        <w:rPr>
          <w:rFonts w:hint="eastAsia" w:eastAsia="仿宋_GB2312" w:cs="Times New Roman"/>
          <w:szCs w:val="32"/>
          <w:lang w:val="zh-CN" w:eastAsia="zh-CN"/>
        </w:rPr>
        <w:t>项目</w:t>
      </w:r>
      <w:r>
        <w:rPr>
          <w:rFonts w:hint="default" w:eastAsia="仿宋_GB2312" w:cs="Times New Roman"/>
          <w:szCs w:val="32"/>
          <w:lang w:val="zh-CN" w:eastAsia="zh-CN"/>
        </w:rPr>
        <w:t>预算绩效评价指标体系“</w:t>
      </w:r>
      <w:r>
        <w:rPr>
          <w:rFonts w:hint="eastAsia" w:eastAsia="仿宋_GB2312" w:cs="Times New Roman"/>
          <w:szCs w:val="32"/>
          <w:lang w:val="zh-CN" w:eastAsia="zh-CN"/>
        </w:rPr>
        <w:t>通用指标</w:t>
      </w:r>
      <w:r>
        <w:rPr>
          <w:rFonts w:hint="default" w:eastAsia="仿宋_GB2312" w:cs="Times New Roman"/>
          <w:szCs w:val="32"/>
          <w:lang w:val="zh-CN" w:eastAsia="zh-CN"/>
        </w:rPr>
        <w:t>”</w:t>
      </w:r>
      <w:r>
        <w:rPr>
          <w:rFonts w:hint="eastAsia" w:eastAsia="仿宋_GB2312" w:cs="Times New Roman"/>
          <w:szCs w:val="32"/>
          <w:lang w:val="zh-CN" w:eastAsia="zh-CN"/>
        </w:rPr>
        <w:t>“专用指标”“个性指标”</w:t>
      </w:r>
      <w:r>
        <w:rPr>
          <w:rFonts w:hint="default" w:eastAsia="仿宋_GB2312" w:cs="Times New Roman"/>
          <w:szCs w:val="32"/>
          <w:lang w:val="zh-CN" w:eastAsia="zh-CN"/>
        </w:rPr>
        <w:t>涉及</w:t>
      </w:r>
      <w:r>
        <w:rPr>
          <w:rFonts w:hint="eastAsia" w:eastAsia="仿宋_GB2312" w:cs="Times New Roman"/>
          <w:szCs w:val="32"/>
          <w:lang w:val="zh-CN" w:eastAsia="zh-CN"/>
        </w:rPr>
        <w:t>二、三级</w:t>
      </w:r>
      <w:r>
        <w:rPr>
          <w:rFonts w:hint="default" w:eastAsia="仿宋_GB2312" w:cs="Times New Roman"/>
          <w:szCs w:val="32"/>
          <w:lang w:val="zh-CN" w:eastAsia="zh-CN"/>
        </w:rPr>
        <w:t>指标进行</w:t>
      </w:r>
      <w:r>
        <w:rPr>
          <w:rFonts w:hint="eastAsia" w:eastAsia="仿宋_GB2312" w:cs="Times New Roman"/>
          <w:szCs w:val="32"/>
          <w:lang w:val="zh-CN" w:eastAsia="zh-CN"/>
        </w:rPr>
        <w:t>逐项</w:t>
      </w:r>
      <w:r>
        <w:rPr>
          <w:rFonts w:hint="default" w:eastAsia="仿宋_GB2312" w:cs="Times New Roman"/>
          <w:szCs w:val="32"/>
          <w:lang w:val="zh-CN" w:eastAsia="zh-CN"/>
        </w:rPr>
        <w:t>绩效分析</w:t>
      </w:r>
      <w:r>
        <w:rPr>
          <w:rFonts w:hint="eastAsia" w:cs="Times New Roman"/>
          <w:szCs w:val="32"/>
          <w:lang w:val="en-US" w:eastAsia="zh-CN"/>
        </w:rPr>
        <w:t>进行</w:t>
      </w:r>
      <w:r>
        <w:rPr>
          <w:rFonts w:hint="eastAsia" w:eastAsia="仿宋_GB2312" w:cs="Times New Roman"/>
          <w:szCs w:val="32"/>
          <w:lang w:val="zh-CN" w:eastAsia="zh-CN"/>
        </w:rPr>
        <w:t>评分</w:t>
      </w:r>
      <w:r>
        <w:rPr>
          <w:rFonts w:hint="eastAsia" w:cs="Times New Roman"/>
          <w:szCs w:val="32"/>
          <w:lang w:val="en-US" w:eastAsia="zh-CN"/>
        </w:rPr>
        <w:t>。</w:t>
      </w:r>
    </w:p>
    <w:p w14:paraId="619A5E95">
      <w:pPr>
        <w:keepNext w:val="0"/>
        <w:keepLines w:val="0"/>
        <w:pageBreakBefore w:val="0"/>
        <w:widowControl w:val="0"/>
        <w:kinsoku/>
        <w:wordWrap/>
        <w:overflowPunct/>
        <w:topLinePunct w:val="0"/>
        <w:autoSpaceDE/>
        <w:autoSpaceDN/>
        <w:bidi w:val="0"/>
        <w:adjustRightInd/>
        <w:snapToGrid/>
        <w:spacing w:line="570"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Cs w:val="32"/>
          <w:highlight w:val="none"/>
          <w:shd w:val="clear" w:color="auto" w:fill="FFFFFF"/>
          <w:lang w:val="zh-CN"/>
        </w:rPr>
        <w:t>绩效分析。</w:t>
      </w:r>
    </w:p>
    <w:p w14:paraId="40C318B0">
      <w:pPr>
        <w:keepNext w:val="0"/>
        <w:keepLines w:val="0"/>
        <w:pageBreakBefore w:val="0"/>
        <w:widowControl w:val="0"/>
        <w:kinsoku/>
        <w:wordWrap/>
        <w:overflowPunct/>
        <w:topLinePunct w:val="0"/>
        <w:autoSpaceDE/>
        <w:autoSpaceDN/>
        <w:bidi w:val="0"/>
        <w:adjustRightInd/>
        <w:snapToGrid/>
        <w:spacing w:line="570" w:lineRule="exact"/>
        <w:ind w:firstLine="640"/>
        <w:textAlignment w:val="auto"/>
        <w:outlineLvl w:val="9"/>
        <w:rPr>
          <w:rFonts w:hint="eastAsia" w:ascii="仿宋_GB2312" w:hAnsi="Times New Roman" w:cs="仿宋_GB2312"/>
          <w:color w:val="auto"/>
          <w:highlight w:val="none"/>
          <w:lang w:val="en-US" w:eastAsia="zh-CN"/>
        </w:rPr>
      </w:pPr>
      <w:r>
        <w:rPr>
          <w:rFonts w:hint="eastAsia" w:ascii="仿宋_GB2312" w:hAnsi="Times New Roman" w:eastAsia="仿宋_GB2312" w:cs="仿宋_GB2312"/>
          <w:color w:val="auto"/>
          <w:highlight w:val="none"/>
          <w:lang w:val="en-US" w:eastAsia="zh-CN"/>
        </w:rPr>
        <w:t>1.项目决策。</w:t>
      </w:r>
      <w:r>
        <w:rPr>
          <w:rFonts w:hint="eastAsia" w:ascii="Times New Roman" w:hAnsi="Times New Roman" w:cs="Times New Roman"/>
          <w:color w:val="auto"/>
          <w:szCs w:val="32"/>
          <w:lang w:eastAsia="zh-CN"/>
        </w:rPr>
        <w:t>项目设立、调整延续等方面符合资金管理基本规范和决策程序要求。项目</w:t>
      </w:r>
      <w:r>
        <w:rPr>
          <w:rFonts w:hint="eastAsia" w:cs="Times New Roman"/>
          <w:color w:val="auto"/>
          <w:szCs w:val="32"/>
          <w:lang w:eastAsia="zh-CN"/>
        </w:rPr>
        <w:t>为</w:t>
      </w:r>
      <w:r>
        <w:rPr>
          <w:rFonts w:hint="eastAsia" w:cs="Times New Roman"/>
          <w:color w:val="auto"/>
          <w:szCs w:val="32"/>
          <w:lang w:val="en-US" w:eastAsia="zh-CN"/>
        </w:rPr>
        <w:t>中央预算内投资</w:t>
      </w:r>
      <w:r>
        <w:rPr>
          <w:rFonts w:hint="eastAsia" w:cs="Times New Roman"/>
          <w:color w:val="auto"/>
          <w:szCs w:val="32"/>
          <w:lang w:eastAsia="zh-CN"/>
        </w:rPr>
        <w:t>，</w:t>
      </w:r>
      <w:r>
        <w:rPr>
          <w:rFonts w:hint="eastAsia" w:ascii="Times New Roman" w:hAnsi="Times New Roman" w:cs="Times New Roman"/>
          <w:color w:val="auto"/>
          <w:szCs w:val="32"/>
          <w:lang w:eastAsia="zh-CN"/>
        </w:rPr>
        <w:t>规划符合</w:t>
      </w:r>
      <w:r>
        <w:rPr>
          <w:rFonts w:hint="eastAsia" w:ascii="Times New Roman" w:hAnsi="Times New Roman" w:cs="Times New Roman"/>
          <w:color w:val="auto"/>
          <w:szCs w:val="32"/>
          <w:lang w:val="en-US" w:eastAsia="zh-CN"/>
        </w:rPr>
        <w:t>上级</w:t>
      </w:r>
      <w:r>
        <w:rPr>
          <w:rFonts w:hint="eastAsia" w:ascii="Times New Roman" w:hAnsi="Times New Roman" w:cs="Times New Roman"/>
          <w:color w:val="auto"/>
          <w:szCs w:val="32"/>
          <w:lang w:eastAsia="zh-CN"/>
        </w:rPr>
        <w:t>有关决策部署安排</w:t>
      </w:r>
      <w:r>
        <w:rPr>
          <w:rFonts w:hint="eastAsia" w:cs="Times New Roman"/>
          <w:color w:val="auto"/>
          <w:szCs w:val="32"/>
          <w:lang w:eastAsia="zh-CN"/>
        </w:rPr>
        <w:t>，</w:t>
      </w:r>
      <w:r>
        <w:rPr>
          <w:rFonts w:hint="eastAsia" w:ascii="Times New Roman" w:hAnsi="Times New Roman" w:cs="Times New Roman"/>
          <w:color w:val="auto"/>
          <w:szCs w:val="32"/>
          <w:lang w:eastAsia="zh-CN"/>
        </w:rPr>
        <w:t>项目</w:t>
      </w:r>
      <w:r>
        <w:rPr>
          <w:rFonts w:hint="eastAsia" w:cs="Times New Roman"/>
          <w:color w:val="auto"/>
          <w:szCs w:val="32"/>
          <w:lang w:eastAsia="zh-CN"/>
        </w:rPr>
        <w:t>具有</w:t>
      </w:r>
      <w:r>
        <w:rPr>
          <w:rFonts w:hint="eastAsia" w:ascii="Times New Roman" w:hAnsi="Times New Roman" w:cs="Times New Roman"/>
          <w:color w:val="auto"/>
          <w:szCs w:val="32"/>
          <w:lang w:eastAsia="zh-CN"/>
        </w:rPr>
        <w:t>必要性、前瞻性、合理性和可行性</w:t>
      </w:r>
      <w:r>
        <w:rPr>
          <w:rFonts w:hint="eastAsia" w:cs="Times New Roman"/>
          <w:color w:val="auto"/>
          <w:szCs w:val="32"/>
          <w:lang w:eastAsia="zh-CN"/>
        </w:rPr>
        <w:t>，</w:t>
      </w:r>
      <w:r>
        <w:rPr>
          <w:rFonts w:hint="eastAsia" w:ascii="Times New Roman" w:hAnsi="Times New Roman" w:cs="Times New Roman"/>
          <w:color w:val="auto"/>
          <w:szCs w:val="32"/>
          <w:lang w:eastAsia="zh-CN"/>
        </w:rPr>
        <w:t>总体绩效目标设置合理，绩效目标科学合理、规范完整、量化细化，与预算匹配。</w:t>
      </w:r>
      <w:r>
        <w:rPr>
          <w:rFonts w:hint="eastAsia" w:cs="Times New Roman"/>
          <w:color w:val="auto"/>
          <w:szCs w:val="32"/>
          <w:lang w:eastAsia="zh-CN"/>
        </w:rPr>
        <w:t>项目</w:t>
      </w:r>
      <w:r>
        <w:rPr>
          <w:rFonts w:hint="eastAsia" w:ascii="Times New Roman" w:hAnsi="Times New Roman" w:cs="Times New Roman"/>
          <w:color w:val="auto"/>
          <w:szCs w:val="32"/>
          <w:lang w:eastAsia="zh-CN"/>
        </w:rPr>
        <w:t>属于政府支持范围，且符合财政事权支出责任划分规定；资金投向与项目总体规划、相关行业事业发展相匹配；</w:t>
      </w:r>
      <w:r>
        <w:rPr>
          <w:rFonts w:hint="eastAsia" w:cs="Times New Roman"/>
          <w:color w:val="auto"/>
          <w:szCs w:val="32"/>
          <w:lang w:eastAsia="zh-CN"/>
        </w:rPr>
        <w:t>项目为上级部门统筹下达，属于</w:t>
      </w:r>
      <w:r>
        <w:rPr>
          <w:rFonts w:hint="eastAsia" w:ascii="Times New Roman" w:hAnsi="Times New Roman" w:cs="Times New Roman"/>
          <w:color w:val="auto"/>
          <w:szCs w:val="32"/>
          <w:lang w:eastAsia="zh-CN"/>
        </w:rPr>
        <w:t>聚焦重点领域</w:t>
      </w:r>
      <w:r>
        <w:rPr>
          <w:rFonts w:hint="eastAsia" w:cs="Times New Roman"/>
          <w:color w:val="auto"/>
          <w:szCs w:val="32"/>
          <w:lang w:eastAsia="zh-CN"/>
        </w:rPr>
        <w:t>的项目</w:t>
      </w:r>
      <w:r>
        <w:rPr>
          <w:rFonts w:hint="eastAsia" w:ascii="Times New Roman" w:hAnsi="Times New Roman" w:cs="Times New Roman"/>
          <w:color w:val="auto"/>
          <w:szCs w:val="32"/>
          <w:lang w:eastAsia="zh-CN"/>
        </w:rPr>
        <w:t>，体现</w:t>
      </w:r>
      <w:r>
        <w:rPr>
          <w:rFonts w:hint="eastAsia" w:cs="Times New Roman"/>
          <w:color w:val="auto"/>
          <w:szCs w:val="32"/>
          <w:lang w:eastAsia="zh-CN"/>
        </w:rPr>
        <w:t>了</w:t>
      </w:r>
      <w:r>
        <w:rPr>
          <w:rFonts w:hint="eastAsia" w:ascii="Times New Roman" w:hAnsi="Times New Roman" w:cs="Times New Roman"/>
          <w:color w:val="auto"/>
          <w:szCs w:val="32"/>
          <w:lang w:eastAsia="zh-CN"/>
        </w:rPr>
        <w:t>“集中财力办大事”原则；未与其他同类项目或部门内部相关项目交叉重复。</w:t>
      </w:r>
      <w:r>
        <w:rPr>
          <w:rFonts w:hint="eastAsia" w:ascii="仿宋_GB2312" w:hAnsi="Times New Roman" w:cs="仿宋_GB2312"/>
          <w:color w:val="auto"/>
          <w:highlight w:val="none"/>
          <w:lang w:val="en-US" w:eastAsia="zh-CN"/>
        </w:rPr>
        <w:t xml:space="preserve">       </w:t>
      </w:r>
    </w:p>
    <w:p w14:paraId="50C0B12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Times New Roman" w:eastAsia="仿宋_GB2312" w:cs="仿宋_GB2312"/>
          <w:color w:val="auto"/>
          <w:highlight w:val="none"/>
          <w:lang w:val="en-US" w:eastAsia="zh-CN"/>
        </w:rPr>
      </w:pPr>
      <w:r>
        <w:rPr>
          <w:rFonts w:hint="eastAsia" w:ascii="仿宋_GB2312" w:hAnsi="Times New Roman" w:eastAsia="仿宋_GB2312" w:cs="仿宋_GB2312"/>
          <w:color w:val="auto"/>
          <w:highlight w:val="none"/>
          <w:lang w:val="en-US" w:eastAsia="zh-CN"/>
        </w:rPr>
        <w:t>2.项目管理。</w:t>
      </w:r>
      <w:r>
        <w:rPr>
          <w:rFonts w:ascii="仿宋_GB2312" w:eastAsia="仿宋_GB2312" w:cs="仿宋_GB2312"/>
          <w:color w:val="auto"/>
          <w:highlight w:val="none"/>
          <w:lang w:val="en-US"/>
        </w:rPr>
        <w:t>项目严格按照</w:t>
      </w:r>
      <w:r>
        <w:rPr>
          <w:rFonts w:hint="eastAsia" w:ascii="仿宋_GB2312" w:eastAsia="仿宋_GB2312" w:cs="仿宋_GB2312"/>
          <w:color w:val="auto"/>
          <w:highlight w:val="none"/>
          <w:lang w:val="en-US" w:eastAsia="zh-CN"/>
        </w:rPr>
        <w:t>《政府投资条例》</w:t>
      </w:r>
      <w:r>
        <w:rPr>
          <w:rFonts w:ascii="仿宋_GB2312" w:eastAsia="仿宋_GB2312" w:cs="仿宋_GB2312"/>
          <w:color w:val="auto"/>
          <w:highlight w:val="none"/>
          <w:lang w:val="en-US"/>
        </w:rPr>
        <w:t>《四川省森林草原防灭火基础设施建设省预算内投资专项管理办法》</w:t>
      </w:r>
      <w:r>
        <w:rPr>
          <w:rFonts w:hint="eastAsia" w:ascii="仿宋_GB2312" w:eastAsia="仿宋_GB2312" w:cs="仿宋_GB2312"/>
          <w:color w:val="auto"/>
          <w:highlight w:val="none"/>
          <w:lang w:val="en-US" w:eastAsia="zh-CN"/>
        </w:rPr>
        <w:t>《</w:t>
      </w:r>
      <w:r>
        <w:rPr>
          <w:rFonts w:ascii="仿宋_GB2312" w:eastAsia="仿宋_GB2312" w:cs="仿宋_GB2312"/>
          <w:color w:val="auto"/>
          <w:highlight w:val="none"/>
          <w:lang w:val="en-US" w:eastAsia="zh-CN"/>
        </w:rPr>
        <w:t>四川省发展和改革委员会关于印发中央和省预算内投资项目事中事后监管办法的通知</w:t>
      </w:r>
      <w:r>
        <w:rPr>
          <w:rFonts w:hint="eastAsia" w:ascii="仿宋_GB2312" w:eastAsia="仿宋_GB2312" w:cs="仿宋_GB2312"/>
          <w:color w:val="auto"/>
          <w:highlight w:val="none"/>
          <w:lang w:val="en-US" w:eastAsia="zh-CN"/>
        </w:rPr>
        <w:t>》</w:t>
      </w:r>
      <w:r>
        <w:rPr>
          <w:rFonts w:ascii="仿宋_GB2312" w:eastAsia="仿宋_GB2312" w:cs="仿宋_GB2312"/>
          <w:color w:val="auto"/>
          <w:highlight w:val="none"/>
          <w:lang w:val="en-US"/>
        </w:rPr>
        <w:t>等有关规定，认真组织实施，</w:t>
      </w:r>
      <w:r>
        <w:rPr>
          <w:rFonts w:hint="eastAsia" w:ascii="仿宋_GB2312" w:cs="仿宋_GB2312"/>
          <w:color w:val="auto"/>
          <w:highlight w:val="none"/>
          <w:lang w:val="en-US" w:eastAsia="zh-CN"/>
        </w:rPr>
        <w:t>强化</w:t>
      </w:r>
      <w:r>
        <w:rPr>
          <w:rFonts w:ascii="仿宋_GB2312" w:eastAsia="仿宋_GB2312" w:cs="仿宋_GB2312"/>
          <w:color w:val="auto"/>
          <w:highlight w:val="none"/>
          <w:lang w:val="en-US"/>
        </w:rPr>
        <w:t>项目管理和运行管护。一是严格按照</w:t>
      </w:r>
      <w:r>
        <w:rPr>
          <w:rFonts w:hint="eastAsia" w:ascii="仿宋_GB2312" w:cs="仿宋_GB2312"/>
          <w:color w:val="auto"/>
          <w:highlight w:val="none"/>
          <w:lang w:val="en-US" w:eastAsia="zh-CN"/>
        </w:rPr>
        <w:t>下达计划内容</w:t>
      </w:r>
      <w:r>
        <w:rPr>
          <w:rFonts w:ascii="仿宋_GB2312" w:eastAsia="仿宋_GB2312" w:cs="仿宋_GB2312"/>
          <w:color w:val="auto"/>
          <w:highlight w:val="none"/>
          <w:lang w:val="en-US"/>
        </w:rPr>
        <w:t>进行建设，确保所需预算内投资足额及时到位。二是严格落实项目（法人）单位及项目责任人、日常监管直接责任单位及监管责任人制度和项目实施地监管责任，建立工作机制，制定监管计划。三是及时准确</w:t>
      </w:r>
      <w:r>
        <w:rPr>
          <w:rFonts w:hint="eastAsia" w:ascii="仿宋_GB2312" w:cs="仿宋_GB2312"/>
          <w:color w:val="auto"/>
          <w:highlight w:val="none"/>
          <w:lang w:val="en-US" w:eastAsia="zh-CN"/>
        </w:rPr>
        <w:t>掌握</w:t>
      </w:r>
      <w:r>
        <w:rPr>
          <w:rFonts w:ascii="仿宋_GB2312" w:eastAsia="仿宋_GB2312" w:cs="仿宋_GB2312"/>
          <w:color w:val="auto"/>
          <w:highlight w:val="none"/>
          <w:lang w:val="en-US"/>
        </w:rPr>
        <w:t>项目开工建设情况、投资完成、工程形象进度等数据</w:t>
      </w:r>
      <w:r>
        <w:rPr>
          <w:rFonts w:hint="eastAsia" w:ascii="仿宋_GB2312" w:cs="仿宋_GB2312"/>
          <w:color w:val="auto"/>
          <w:highlight w:val="none"/>
          <w:lang w:val="en-US" w:eastAsia="zh-CN"/>
        </w:rPr>
        <w:t>，加强项目监督。</w:t>
      </w:r>
    </w:p>
    <w:p w14:paraId="5F232DD0">
      <w:pPr>
        <w:keepNext w:val="0"/>
        <w:keepLines w:val="0"/>
        <w:pageBreakBefore w:val="0"/>
        <w:widowControl w:val="0"/>
        <w:kinsoku/>
        <w:wordWrap/>
        <w:overflowPunct/>
        <w:topLinePunct w:val="0"/>
        <w:autoSpaceDE/>
        <w:autoSpaceDN/>
        <w:bidi w:val="0"/>
        <w:adjustRightInd w:val="0"/>
        <w:snapToGrid w:val="0"/>
        <w:spacing w:line="540" w:lineRule="exact"/>
        <w:ind w:left="0" w:leftChars="0" w:firstLine="640" w:firstLineChars="200"/>
        <w:textAlignment w:val="auto"/>
        <w:outlineLvl w:val="9"/>
        <w:rPr>
          <w:rFonts w:hint="eastAsia" w:ascii="仿宋_GB2312" w:hAnsi="Times New Roman" w:eastAsia="仿宋_GB2312" w:cs="仿宋_GB2312"/>
          <w:color w:val="auto"/>
          <w:kern w:val="2"/>
          <w:position w:val="0"/>
          <w:sz w:val="32"/>
          <w:szCs w:val="32"/>
          <w:highlight w:val="none"/>
          <w:lang w:val="en-US" w:eastAsia="zh-CN" w:bidi="ar-SA"/>
        </w:rPr>
      </w:pPr>
      <w:r>
        <w:rPr>
          <w:rFonts w:hint="eastAsia" w:ascii="仿宋_GB2312" w:hAnsi="Times New Roman" w:eastAsia="仿宋_GB2312" w:cs="仿宋_GB2312"/>
          <w:color w:val="auto"/>
          <w:kern w:val="2"/>
          <w:position w:val="0"/>
          <w:sz w:val="32"/>
          <w:szCs w:val="32"/>
          <w:highlight w:val="none"/>
          <w:lang w:val="en-US" w:eastAsia="zh-CN" w:bidi="ar-SA"/>
        </w:rPr>
        <w:t>3.项目实施。资金到位</w:t>
      </w:r>
      <w:r>
        <w:rPr>
          <w:rFonts w:hint="eastAsia" w:ascii="仿宋_GB2312" w:cs="仿宋_GB2312"/>
          <w:color w:val="auto"/>
          <w:kern w:val="2"/>
          <w:position w:val="0"/>
          <w:sz w:val="32"/>
          <w:szCs w:val="32"/>
          <w:highlight w:val="none"/>
          <w:lang w:val="en-US" w:eastAsia="zh-CN" w:bidi="ar-SA"/>
        </w:rPr>
        <w:t>3093</w:t>
      </w:r>
      <w:r>
        <w:rPr>
          <w:rFonts w:hint="eastAsia" w:ascii="仿宋_GB2312" w:hAnsi="Times New Roman" w:eastAsia="仿宋_GB2312" w:cs="仿宋_GB2312"/>
          <w:color w:val="auto"/>
          <w:kern w:val="2"/>
          <w:position w:val="0"/>
          <w:sz w:val="32"/>
          <w:szCs w:val="32"/>
          <w:highlight w:val="none"/>
          <w:lang w:val="en-US" w:eastAsia="zh-CN" w:bidi="ar-SA"/>
        </w:rPr>
        <w:t>万元，到位率100%。</w:t>
      </w:r>
      <w:r>
        <w:rPr>
          <w:rFonts w:hint="eastAsia" w:ascii="仿宋_GB2312" w:cs="仿宋_GB2312"/>
          <w:color w:val="auto"/>
          <w:kern w:val="2"/>
          <w:position w:val="0"/>
          <w:sz w:val="32"/>
          <w:szCs w:val="32"/>
          <w:highlight w:val="none"/>
          <w:lang w:val="en-US" w:eastAsia="zh-CN" w:bidi="ar-SA"/>
        </w:rPr>
        <w:t>完成了该项目可行性研究报告和初步设计及概算编制工作，</w:t>
      </w:r>
      <w:r>
        <w:rPr>
          <w:rFonts w:hint="eastAsia" w:cs="Times New Roman"/>
          <w:szCs w:val="32"/>
          <w:lang w:val="en-US" w:eastAsia="zh-CN"/>
        </w:rPr>
        <w:t>并完成投资94.4</w:t>
      </w:r>
      <w:r>
        <w:rPr>
          <w:rFonts w:hint="eastAsia" w:eastAsia="仿宋_GB2312" w:cs="Times New Roman"/>
          <w:szCs w:val="32"/>
        </w:rPr>
        <w:t>万元</w:t>
      </w:r>
      <w:r>
        <w:rPr>
          <w:rFonts w:hint="eastAsia" w:cs="Times New Roman"/>
          <w:szCs w:val="32"/>
          <w:lang w:eastAsia="zh-CN"/>
        </w:rPr>
        <w:t>。</w:t>
      </w:r>
    </w:p>
    <w:p w14:paraId="5E9DE9A1">
      <w:pPr>
        <w:ind w:firstLine="640" w:firstLineChars="200"/>
        <w:jc w:val="left"/>
        <w:rPr>
          <w:rFonts w:hint="default" w:ascii="仿宋_GB2312"/>
          <w:sz w:val="32"/>
          <w:szCs w:val="32"/>
          <w:lang w:val="en-US" w:eastAsia="zh-CN"/>
        </w:rPr>
      </w:pPr>
      <w:r>
        <w:rPr>
          <w:rFonts w:hint="eastAsia" w:ascii="仿宋_GB2312" w:hAnsi="Times New Roman" w:eastAsia="仿宋_GB2312" w:cs="仿宋_GB2312"/>
          <w:color w:val="auto"/>
          <w:kern w:val="2"/>
          <w:position w:val="0"/>
          <w:sz w:val="32"/>
          <w:szCs w:val="32"/>
          <w:highlight w:val="none"/>
          <w:lang w:val="en-US" w:eastAsia="zh-CN" w:bidi="ar-SA"/>
        </w:rPr>
        <w:t>4.项目结果。</w:t>
      </w:r>
      <w:r>
        <w:rPr>
          <w:rFonts w:hint="eastAsia" w:ascii="仿宋_GB2312"/>
          <w:sz w:val="32"/>
          <w:szCs w:val="32"/>
          <w:lang w:val="en-US" w:eastAsia="zh-CN"/>
        </w:rPr>
        <w:t>为使本项目顺利进行，按照组织体系分工，加强分工合作，做好投资控制，做好安全管理，保质、保量按经批复的实施方案完成项目建设内容。一是按照规定严格采购流程进行采购；二是加强项目实施过程质量控制；三是</w:t>
      </w:r>
    </w:p>
    <w:p w14:paraId="262F179B">
      <w:pPr>
        <w:jc w:val="left"/>
        <w:rPr>
          <w:rFonts w:hint="default" w:ascii="仿宋_GB2312"/>
          <w:sz w:val="32"/>
          <w:szCs w:val="32"/>
          <w:lang w:val="en-US" w:eastAsia="zh-CN"/>
        </w:rPr>
      </w:pPr>
      <w:r>
        <w:rPr>
          <w:rFonts w:hint="eastAsia" w:ascii="仿宋_GB2312"/>
          <w:sz w:val="32"/>
          <w:szCs w:val="32"/>
          <w:lang w:val="en-US" w:eastAsia="zh-CN"/>
        </w:rPr>
        <w:t>及时收集资料、整理并归档。四是加强全过程管理，采购后及时交付验收，验收合格后依规支付，全面把好资金使用效率。</w:t>
      </w:r>
    </w:p>
    <w:p w14:paraId="56CF61A9">
      <w:pPr>
        <w:pStyle w:val="2"/>
        <w:keepNext w:val="0"/>
        <w:keepLines w:val="0"/>
        <w:pageBreakBefore w:val="0"/>
        <w:kinsoku/>
        <w:wordWrap/>
        <w:overflowPunct/>
        <w:topLinePunct w:val="0"/>
        <w:autoSpaceDE/>
        <w:autoSpaceDN/>
        <w:bidi w:val="0"/>
        <w:adjustRightInd/>
        <w:snapToGrid/>
        <w:spacing w:line="560" w:lineRule="exact"/>
        <w:ind w:firstLine="643" w:firstLineChars="200"/>
        <w:rPr>
          <w:rFonts w:hint="eastAsia" w:ascii="仿宋_GB2312" w:hAnsi="Times New Roman" w:eastAsia="仿宋_GB2312" w:cs="Times New Roman"/>
          <w:kern w:val="2"/>
          <w:position w:val="0"/>
          <w:sz w:val="32"/>
          <w:szCs w:val="32"/>
          <w:lang w:val="en-US" w:eastAsia="zh-CN" w:bidi="ar-SA"/>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楷体_GB2312" w:hAnsi="宋体" w:eastAsia="楷体_GB2312" w:cs="Times New Roman"/>
          <w:b/>
          <w:color w:val="auto"/>
          <w:sz w:val="32"/>
          <w:szCs w:val="32"/>
          <w:highlight w:val="none"/>
          <w:u w:val="none"/>
          <w:lang w:val="zh-CN" w:eastAsia="zh-CN"/>
        </w:rPr>
        <w:t>绩效分析</w:t>
      </w:r>
      <w:r>
        <w:rPr>
          <w:rFonts w:hint="default" w:ascii="Times New Roman" w:hAnsi="Times New Roman" w:eastAsia="楷体_GB2312" w:cs="Times New Roman"/>
          <w:b/>
          <w:bCs/>
          <w:color w:val="000000"/>
          <w:kern w:val="0"/>
          <w:szCs w:val="32"/>
          <w:highlight w:val="none"/>
          <w:shd w:val="clear" w:color="auto" w:fill="FFFFFF"/>
          <w:lang w:val="zh-CN"/>
        </w:rPr>
        <w:t>。</w:t>
      </w:r>
      <w:r>
        <w:rPr>
          <w:rFonts w:hint="eastAsia" w:ascii="仿宋_GB2312" w:hAnsi="Times New Roman" w:eastAsia="仿宋_GB2312" w:cs="Times New Roman"/>
          <w:kern w:val="2"/>
          <w:position w:val="0"/>
          <w:sz w:val="32"/>
          <w:szCs w:val="32"/>
          <w:lang w:val="zh-CN" w:eastAsia="zh-CN" w:bidi="ar-SA"/>
        </w:rPr>
        <w:t>根据</w:t>
      </w:r>
      <w:r>
        <w:rPr>
          <w:rFonts w:hint="eastAsia" w:ascii="仿宋_GB2312" w:hAnsi="Times New Roman" w:eastAsia="仿宋_GB2312" w:cs="Times New Roman"/>
          <w:kern w:val="2"/>
          <w:position w:val="0"/>
          <w:sz w:val="32"/>
          <w:szCs w:val="32"/>
          <w:lang w:val="en-US" w:eastAsia="zh-CN" w:bidi="ar-SA"/>
        </w:rPr>
        <w:t>专项预算项目资金支持对象选择所属指标进行绩效分析。支持对象</w:t>
      </w:r>
      <w:r>
        <w:rPr>
          <w:rFonts w:hint="eastAsia" w:ascii="仿宋_GB2312" w:hAnsi="Times New Roman" w:eastAsia="仿宋_GB2312" w:cs="Times New Roman"/>
          <w:kern w:val="2"/>
          <w:position w:val="0"/>
          <w:sz w:val="32"/>
          <w:szCs w:val="32"/>
          <w:lang w:val="zh-CN" w:eastAsia="zh-CN" w:bidi="ar-SA"/>
        </w:rPr>
        <w:t>包括产业发展、民生保障、基础设施、行政运转等方面。</w:t>
      </w:r>
    </w:p>
    <w:p w14:paraId="1DCBD464">
      <w:pPr>
        <w:pStyle w:val="2"/>
        <w:keepNext w:val="0"/>
        <w:keepLines w:val="0"/>
        <w:pageBreakBefore w:val="0"/>
        <w:kinsoku/>
        <w:wordWrap/>
        <w:overflowPunct/>
        <w:topLinePunct w:val="0"/>
        <w:autoSpaceDE/>
        <w:autoSpaceDN/>
        <w:bidi w:val="0"/>
        <w:adjustRightInd/>
        <w:snapToGrid/>
        <w:spacing w:line="560" w:lineRule="exact"/>
        <w:ind w:firstLine="643" w:firstLineChars="200"/>
        <w:rPr>
          <w:rFonts w:hint="eastAsia" w:ascii="仿宋_GB2312" w:hAnsi="Times New Roman" w:eastAsia="仿宋_GB2312" w:cs="Times New Roman"/>
          <w:kern w:val="2"/>
          <w:position w:val="0"/>
          <w:sz w:val="32"/>
          <w:szCs w:val="32"/>
          <w:lang w:val="en-US" w:eastAsia="zh-CN" w:bidi="ar-SA"/>
        </w:rPr>
      </w:pPr>
      <w:r>
        <w:rPr>
          <w:rFonts w:hint="eastAsia" w:ascii="楷体_GB2312" w:hAnsi="宋体" w:eastAsia="楷体_GB2312" w:cs="Times New Roman"/>
          <w:b/>
          <w:color w:val="auto"/>
          <w:sz w:val="32"/>
          <w:szCs w:val="32"/>
          <w:highlight w:val="none"/>
          <w:u w:val="none"/>
          <w:lang w:val="zh-CN"/>
        </w:rPr>
        <w:t>（三）</w:t>
      </w:r>
      <w:r>
        <w:rPr>
          <w:rFonts w:hint="eastAsia" w:ascii="楷体_GB2312" w:hAnsi="宋体" w:eastAsia="楷体_GB2312" w:cs="Times New Roman"/>
          <w:b/>
          <w:color w:val="auto"/>
          <w:sz w:val="32"/>
          <w:szCs w:val="32"/>
          <w:highlight w:val="none"/>
          <w:u w:val="none"/>
          <w:lang w:val="en-US" w:eastAsia="zh-CN"/>
        </w:rPr>
        <w:t>个性指标</w:t>
      </w:r>
      <w:r>
        <w:rPr>
          <w:rFonts w:hint="default" w:ascii="楷体_GB2312" w:hAnsi="宋体" w:eastAsia="楷体_GB2312" w:cs="Times New Roman"/>
          <w:b/>
          <w:color w:val="auto"/>
          <w:sz w:val="32"/>
          <w:szCs w:val="32"/>
          <w:highlight w:val="none"/>
          <w:u w:val="none"/>
          <w:lang w:val="zh-CN" w:eastAsia="zh-CN"/>
        </w:rPr>
        <w:t>绩效分析</w:t>
      </w:r>
      <w:r>
        <w:rPr>
          <w:rFonts w:hint="default" w:ascii="Times New Roman" w:hAnsi="Times New Roman" w:eastAsia="楷体_GB2312" w:cs="Times New Roman"/>
          <w:b/>
          <w:bCs/>
          <w:color w:val="000000"/>
          <w:kern w:val="0"/>
          <w:szCs w:val="32"/>
          <w:highlight w:val="none"/>
          <w:shd w:val="clear" w:color="auto" w:fill="FFFFFF"/>
          <w:lang w:val="zh-CN"/>
        </w:rPr>
        <w:t>。</w:t>
      </w:r>
      <w:r>
        <w:rPr>
          <w:rFonts w:hint="eastAsia" w:ascii="仿宋_GB2312" w:hAnsi="Times New Roman" w:eastAsia="仿宋_GB2312" w:cs="Times New Roman"/>
          <w:kern w:val="2"/>
          <w:position w:val="0"/>
          <w:sz w:val="32"/>
          <w:szCs w:val="32"/>
          <w:lang w:val="en-US" w:eastAsia="zh-CN" w:bidi="ar-SA"/>
        </w:rPr>
        <w:t>生态效益、社会效益、经济效益均</w:t>
      </w:r>
      <w:r>
        <w:rPr>
          <w:rFonts w:hint="eastAsia" w:ascii="仿宋_GB2312" w:hAnsi="Times New Roman" w:eastAsia="仿宋_GB2312" w:cs="Times New Roman"/>
          <w:kern w:val="2"/>
          <w:position w:val="0"/>
          <w:sz w:val="32"/>
          <w:szCs w:val="32"/>
          <w:lang w:val="zh-CN" w:eastAsia="zh-CN" w:bidi="ar-SA"/>
        </w:rPr>
        <w:t>达标</w:t>
      </w:r>
      <w:r>
        <w:rPr>
          <w:rFonts w:hint="eastAsia" w:ascii="仿宋_GB2312" w:hAnsi="Times New Roman" w:eastAsia="仿宋_GB2312" w:cs="Times New Roman"/>
          <w:kern w:val="2"/>
          <w:position w:val="0"/>
          <w:sz w:val="32"/>
          <w:szCs w:val="32"/>
          <w:lang w:val="en-US" w:eastAsia="zh-CN" w:bidi="ar-SA"/>
        </w:rPr>
        <w:t>。</w:t>
      </w:r>
    </w:p>
    <w:p w14:paraId="5FB25701">
      <w:pPr>
        <w:pStyle w:val="2"/>
        <w:keepNext w:val="0"/>
        <w:keepLines w:val="0"/>
        <w:pageBreakBefore w:val="0"/>
        <w:numPr>
          <w:ilvl w:val="0"/>
          <w:numId w:val="0"/>
        </w:numPr>
        <w:kinsoku/>
        <w:wordWrap/>
        <w:overflowPunct/>
        <w:topLinePunct w:val="0"/>
        <w:autoSpaceDE/>
        <w:autoSpaceDN/>
        <w:bidi w:val="0"/>
        <w:adjustRightInd/>
        <w:spacing w:line="570" w:lineRule="exact"/>
        <w:ind w:firstLine="640" w:firstLineChars="200"/>
        <w:textAlignment w:val="auto"/>
        <w:rPr>
          <w:rFonts w:hint="eastAsia" w:ascii="黑体" w:hAnsi="宋体"/>
          <w:color w:val="auto"/>
          <w:sz w:val="32"/>
          <w:szCs w:val="32"/>
          <w:highlight w:val="none"/>
          <w:u w:val="none"/>
          <w:lang w:eastAsia="zh-CN"/>
        </w:rPr>
      </w:pPr>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p>
    <w:p w14:paraId="253BB05B">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项目严格按照任务相关文件要求确定建设内容，项目资金使用方向合规。项目管理规范，有严格的财务管理制度和项目实施监督制度</w:t>
      </w:r>
      <w:r>
        <w:rPr>
          <w:rFonts w:hint="eastAsia" w:ascii="仿宋_GB2312" w:eastAsia="仿宋_GB2312" w:cs="Times New Roman"/>
          <w:sz w:val="32"/>
          <w:szCs w:val="32"/>
          <w:lang w:val="en-US" w:eastAsia="zh-CN"/>
        </w:rPr>
        <w:t>，</w:t>
      </w:r>
      <w:r>
        <w:rPr>
          <w:rFonts w:hint="eastAsia" w:ascii="仿宋_GB2312" w:hAnsi="Times New Roman" w:eastAsia="仿宋_GB2312" w:cs="Times New Roman"/>
          <w:sz w:val="32"/>
          <w:szCs w:val="32"/>
          <w:lang w:val="en-US" w:eastAsia="zh-CN"/>
        </w:rPr>
        <w:t>项目完成及时。</w:t>
      </w:r>
      <w:r>
        <w:rPr>
          <w:rFonts w:hint="eastAsia" w:cs="Times New Roman"/>
          <w:color w:val="auto"/>
          <w:szCs w:val="32"/>
          <w:lang w:val="zh-CN" w:eastAsia="zh-CN"/>
        </w:rPr>
        <w:t>有效提高</w:t>
      </w:r>
      <w:r>
        <w:rPr>
          <w:rFonts w:hint="eastAsia" w:cs="Times New Roman"/>
          <w:color w:val="auto"/>
          <w:szCs w:val="32"/>
          <w:lang w:val="en-US" w:eastAsia="zh-CN"/>
        </w:rPr>
        <w:t>森林</w:t>
      </w:r>
      <w:r>
        <w:rPr>
          <w:rFonts w:hint="eastAsia" w:cs="Times New Roman"/>
          <w:color w:val="auto"/>
          <w:szCs w:val="32"/>
          <w:lang w:val="zh-CN" w:eastAsia="zh-CN"/>
        </w:rPr>
        <w:t>草原火灾综合防控能力和火灾扑灭率将明显提高，</w:t>
      </w:r>
      <w:r>
        <w:rPr>
          <w:rFonts w:hint="eastAsia" w:cs="Times New Roman"/>
          <w:color w:val="auto"/>
          <w:szCs w:val="32"/>
          <w:lang w:val="en-US" w:eastAsia="zh-CN"/>
        </w:rPr>
        <w:t>森林</w:t>
      </w:r>
      <w:r>
        <w:rPr>
          <w:rFonts w:hint="eastAsia" w:cs="Times New Roman"/>
          <w:color w:val="auto"/>
          <w:szCs w:val="32"/>
          <w:lang w:val="zh-CN" w:eastAsia="zh-CN"/>
        </w:rPr>
        <w:t>草原火灾受害率将进一步降低。</w:t>
      </w:r>
      <w:r>
        <w:rPr>
          <w:rFonts w:hint="eastAsia" w:cs="Times New Roman"/>
          <w:color w:val="auto"/>
          <w:szCs w:val="32"/>
          <w:lang w:val="en-US" w:eastAsia="zh-CN"/>
        </w:rPr>
        <w:t>森林</w:t>
      </w:r>
      <w:r>
        <w:rPr>
          <w:rFonts w:hint="eastAsia" w:cs="Times New Roman"/>
          <w:color w:val="auto"/>
          <w:szCs w:val="32"/>
          <w:lang w:val="zh-CN" w:eastAsia="zh-CN"/>
        </w:rPr>
        <w:t>草原火灾以及火灾受害率的降低，可减轻或避免</w:t>
      </w:r>
      <w:r>
        <w:rPr>
          <w:rFonts w:hint="eastAsia" w:cs="Times New Roman"/>
          <w:color w:val="auto"/>
          <w:szCs w:val="32"/>
          <w:lang w:val="en-US" w:eastAsia="zh-CN"/>
        </w:rPr>
        <w:t>森林</w:t>
      </w:r>
      <w:r>
        <w:rPr>
          <w:rFonts w:hint="eastAsia" w:cs="Times New Roman"/>
          <w:color w:val="auto"/>
          <w:szCs w:val="32"/>
          <w:lang w:val="zh-CN" w:eastAsia="zh-CN"/>
        </w:rPr>
        <w:t>草原火灾给草原植物及其生态系统造成的危害，保护</w:t>
      </w:r>
      <w:r>
        <w:rPr>
          <w:rFonts w:hint="eastAsia" w:cs="Times New Roman"/>
          <w:color w:val="auto"/>
          <w:szCs w:val="32"/>
          <w:lang w:val="en-US" w:eastAsia="zh-CN"/>
        </w:rPr>
        <w:t>森林、</w:t>
      </w:r>
      <w:r>
        <w:rPr>
          <w:rFonts w:hint="eastAsia" w:cs="Times New Roman"/>
          <w:color w:val="auto"/>
          <w:szCs w:val="32"/>
          <w:lang w:val="zh-CN" w:eastAsia="zh-CN"/>
        </w:rPr>
        <w:t>农田等生态效能的正常发挥，促进自然生态系统植被和受保护的草原植被恢复，维持良好的草原生态状况，保护生物多样性。</w:t>
      </w:r>
      <w:r>
        <w:rPr>
          <w:rFonts w:hint="eastAsia" w:ascii="仿宋_GB2312" w:hAnsi="Times New Roman" w:eastAsia="仿宋_GB2312" w:cs="Times New Roman"/>
          <w:sz w:val="32"/>
          <w:szCs w:val="32"/>
          <w:lang w:val="en-US" w:eastAsia="zh-CN"/>
        </w:rPr>
        <w:t>通过自评</w:t>
      </w:r>
      <w:r>
        <w:rPr>
          <w:rFonts w:hint="eastAsia" w:ascii="仿宋_GB2312" w:cs="Times New Roman"/>
          <w:sz w:val="32"/>
          <w:szCs w:val="32"/>
          <w:lang w:val="en-US" w:eastAsia="zh-CN"/>
        </w:rPr>
        <w:t>，</w:t>
      </w:r>
      <w:r>
        <w:rPr>
          <w:rFonts w:hint="eastAsia" w:ascii="仿宋_GB2312" w:hAnsi="Times New Roman" w:eastAsia="仿宋_GB2312" w:cs="Times New Roman"/>
          <w:sz w:val="32"/>
          <w:szCs w:val="32"/>
          <w:lang w:val="en-US" w:eastAsia="zh-CN"/>
        </w:rPr>
        <w:t>项目得分</w:t>
      </w:r>
      <w:r>
        <w:rPr>
          <w:rFonts w:hint="eastAsia" w:ascii="仿宋_GB2312" w:cs="Times New Roman"/>
          <w:sz w:val="32"/>
          <w:szCs w:val="32"/>
          <w:lang w:val="en-US" w:eastAsia="zh-CN"/>
        </w:rPr>
        <w:t>85</w:t>
      </w:r>
      <w:r>
        <w:rPr>
          <w:rFonts w:hint="eastAsia" w:ascii="仿宋_GB2312" w:hAnsi="Times New Roman" w:eastAsia="仿宋_GB2312" w:cs="Times New Roman"/>
          <w:sz w:val="32"/>
          <w:szCs w:val="32"/>
          <w:lang w:val="en-US" w:eastAsia="zh-CN"/>
        </w:rPr>
        <w:t>分。</w:t>
      </w:r>
    </w:p>
    <w:p w14:paraId="4EA0607A">
      <w:pPr>
        <w:pStyle w:val="2"/>
        <w:keepNext w:val="0"/>
        <w:keepLines w:val="0"/>
        <w:pageBreakBefore w:val="0"/>
        <w:numPr>
          <w:ilvl w:val="0"/>
          <w:numId w:val="0"/>
        </w:numPr>
        <w:kinsoku/>
        <w:wordWrap/>
        <w:overflowPunct/>
        <w:topLinePunct w:val="0"/>
        <w:autoSpaceDE/>
        <w:autoSpaceDN/>
        <w:bidi w:val="0"/>
        <w:adjustRightInd/>
        <w:spacing w:line="570" w:lineRule="exact"/>
        <w:ind w:firstLine="640" w:firstLineChars="200"/>
        <w:textAlignment w:val="auto"/>
        <w:rPr>
          <w:rFonts w:hint="eastAsia" w:ascii="黑体" w:hAnsi="宋体" w:eastAsia="黑体" w:cs="Times New Roman"/>
          <w:color w:val="auto"/>
          <w:sz w:val="32"/>
          <w:szCs w:val="32"/>
          <w:highlight w:val="none"/>
          <w:u w:val="none"/>
          <w:lang w:eastAsia="zh-CN"/>
        </w:rPr>
      </w:pPr>
      <w:r>
        <w:rPr>
          <w:rFonts w:hint="eastAsia" w:ascii="黑体" w:hAnsi="宋体" w:cs="Times New Roman"/>
          <w:color w:val="auto"/>
          <w:sz w:val="32"/>
          <w:szCs w:val="32"/>
          <w:highlight w:val="none"/>
          <w:u w:val="none"/>
          <w:lang w:eastAsia="zh-CN"/>
        </w:rPr>
        <w:t>五、</w:t>
      </w:r>
      <w:r>
        <w:rPr>
          <w:rFonts w:hint="eastAsia" w:ascii="黑体" w:hAnsi="宋体" w:eastAsia="黑体" w:cs="Times New Roman"/>
          <w:color w:val="auto"/>
          <w:sz w:val="32"/>
          <w:szCs w:val="32"/>
          <w:highlight w:val="none"/>
          <w:u w:val="none"/>
          <w:lang w:eastAsia="zh-CN"/>
        </w:rPr>
        <w:t>存在主要问题</w:t>
      </w:r>
    </w:p>
    <w:p w14:paraId="15F8B3C1">
      <w:pPr>
        <w:ind w:firstLine="640" w:firstLineChars="200"/>
        <w:rPr>
          <w:rFonts w:hint="default"/>
          <w:lang w:val="en-US" w:eastAsia="zh-CN"/>
        </w:rPr>
      </w:pPr>
      <w:r>
        <w:rPr>
          <w:rFonts w:hint="eastAsia" w:ascii="仿宋_GB2312" w:hAnsi="仿宋_GB2312" w:cs="仿宋_GB2312"/>
          <w:b w:val="0"/>
          <w:bCs w:val="0"/>
          <w:kern w:val="0"/>
          <w:position w:val="0"/>
          <w:sz w:val="32"/>
          <w:szCs w:val="32"/>
          <w:highlight w:val="none"/>
          <w:lang w:val="en-US" w:eastAsia="zh-CN" w:bidi="ar-SA"/>
        </w:rPr>
        <w:t>无。</w:t>
      </w:r>
    </w:p>
    <w:p w14:paraId="3F6B1BD4">
      <w:pPr>
        <w:pStyle w:val="2"/>
        <w:keepNext w:val="0"/>
        <w:keepLines w:val="0"/>
        <w:pageBreakBefore w:val="0"/>
        <w:numPr>
          <w:ilvl w:val="0"/>
          <w:numId w:val="0"/>
        </w:numPr>
        <w:kinsoku/>
        <w:wordWrap/>
        <w:overflowPunct/>
        <w:topLinePunct w:val="0"/>
        <w:autoSpaceDE/>
        <w:autoSpaceDN/>
        <w:bidi w:val="0"/>
        <w:adjustRightInd/>
        <w:spacing w:line="570" w:lineRule="exact"/>
        <w:ind w:firstLine="640" w:firstLineChars="200"/>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14:paraId="5757949B">
      <w:pPr>
        <w:pStyle w:val="2"/>
        <w:spacing w:line="360" w:lineRule="auto"/>
        <w:ind w:left="0" w:firstLine="640" w:firstLineChars="200"/>
        <w:rPr>
          <w:rFonts w:hint="default" w:ascii="仿宋_GB2312" w:hAnsi="仿宋_GB2312" w:cs="仿宋_GB2312"/>
          <w:b w:val="0"/>
          <w:bCs w:val="0"/>
          <w:kern w:val="0"/>
          <w:position w:val="0"/>
          <w:sz w:val="32"/>
          <w:szCs w:val="32"/>
          <w:highlight w:val="none"/>
          <w:lang w:val="en-US" w:eastAsia="zh-CN" w:bidi="ar-SA"/>
        </w:rPr>
      </w:pPr>
      <w:r>
        <w:rPr>
          <w:rFonts w:hint="eastAsia" w:ascii="仿宋_GB2312" w:eastAsia="仿宋_GB2312" w:cs="宋体"/>
          <w:sz w:val="32"/>
          <w:szCs w:val="32"/>
          <w:lang w:val="en-US" w:eastAsia="zh-CN"/>
        </w:rPr>
        <w:t>无</w:t>
      </w:r>
      <w:r>
        <w:rPr>
          <w:rFonts w:hint="eastAsia" w:ascii="仿宋_GB2312" w:eastAsia="仿宋_GB2312" w:cs="宋体"/>
          <w:sz w:val="32"/>
          <w:szCs w:val="32"/>
        </w:rPr>
        <w:t>。</w:t>
      </w:r>
    </w:p>
    <w:p w14:paraId="3B4FEC43">
      <w:pPr>
        <w:keepNext w:val="0"/>
        <w:keepLines w:val="0"/>
        <w:pageBreakBefore w:val="0"/>
        <w:kinsoku/>
        <w:wordWrap/>
        <w:overflowPunct/>
        <w:topLinePunct w:val="0"/>
        <w:autoSpaceDE/>
        <w:autoSpaceDN/>
        <w:bidi w:val="0"/>
        <w:adjustRightInd/>
        <w:snapToGrid w:val="0"/>
        <w:spacing w:line="578" w:lineRule="exact"/>
        <w:ind w:left="0" w:leftChars="0" w:firstLine="640" w:firstLineChars="200"/>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en-US" w:eastAsia="zh-CN"/>
        </w:rPr>
        <w:t>附表：1.</w:t>
      </w:r>
      <w:r>
        <w:rPr>
          <w:rFonts w:hint="eastAsia" w:cs="Times New Roman"/>
          <w:color w:val="000000"/>
          <w:kern w:val="0"/>
          <w:szCs w:val="32"/>
          <w:highlight w:val="none"/>
          <w:shd w:val="clear" w:color="auto" w:fill="FFFFFF"/>
          <w:lang w:val="en-US" w:eastAsia="zh-CN"/>
        </w:rPr>
        <w:t>专项</w:t>
      </w:r>
      <w:r>
        <w:rPr>
          <w:rFonts w:hint="default" w:ascii="Times New Roman" w:hAnsi="Times New Roman" w:cs="Times New Roman"/>
          <w:color w:val="000000"/>
          <w:kern w:val="0"/>
          <w:szCs w:val="32"/>
          <w:highlight w:val="none"/>
          <w:shd w:val="clear" w:color="auto" w:fill="FFFFFF"/>
          <w:lang w:val="en-US" w:eastAsia="zh-CN"/>
        </w:rPr>
        <w:t>预算绩效自评打分表</w:t>
      </w:r>
    </w:p>
    <w:p w14:paraId="36E10C4A">
      <w:pPr>
        <w:keepNext w:val="0"/>
        <w:keepLines w:val="0"/>
        <w:pageBreakBefore w:val="0"/>
        <w:kinsoku/>
        <w:wordWrap/>
        <w:overflowPunct/>
        <w:topLinePunct w:val="0"/>
        <w:autoSpaceDE/>
        <w:autoSpaceDN/>
        <w:bidi w:val="0"/>
        <w:adjustRightInd/>
        <w:snapToGrid w:val="0"/>
        <w:spacing w:line="578" w:lineRule="exact"/>
        <w:ind w:left="0" w:leftChars="0" w:firstLine="1600" w:firstLineChars="500"/>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en-US" w:eastAsia="zh-CN"/>
        </w:rPr>
        <w:t>2.专项预算绩效自评实地踏勘点位清单表</w:t>
      </w:r>
    </w:p>
    <w:p w14:paraId="2F52186D">
      <w:pPr>
        <w:keepNext w:val="0"/>
        <w:keepLines w:val="0"/>
        <w:pageBreakBefore w:val="0"/>
        <w:kinsoku/>
        <w:wordWrap/>
        <w:overflowPunct/>
        <w:topLinePunct w:val="0"/>
        <w:autoSpaceDE/>
        <w:autoSpaceDN/>
        <w:bidi w:val="0"/>
        <w:adjustRightInd/>
        <w:snapToGrid w:val="0"/>
        <w:spacing w:line="578" w:lineRule="exact"/>
        <w:ind w:left="0" w:leftChars="0" w:firstLine="1600" w:firstLineChars="500"/>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eastAsia" w:cs="Times New Roman"/>
          <w:color w:val="000000"/>
          <w:kern w:val="0"/>
          <w:szCs w:val="32"/>
          <w:highlight w:val="none"/>
          <w:shd w:val="clear" w:color="auto" w:fill="FFFFFF"/>
          <w:lang w:val="en-US" w:eastAsia="zh-CN"/>
        </w:rPr>
        <w:t>3.</w:t>
      </w:r>
      <w:r>
        <w:rPr>
          <w:rFonts w:hint="default" w:ascii="Times New Roman" w:hAnsi="Times New Roman" w:cs="Times New Roman"/>
          <w:color w:val="000000"/>
          <w:kern w:val="0"/>
          <w:szCs w:val="32"/>
          <w:highlight w:val="none"/>
          <w:shd w:val="clear" w:color="auto" w:fill="FFFFFF"/>
          <w:lang w:val="en-US" w:eastAsia="zh-CN"/>
        </w:rPr>
        <w:t>专项预算项目绩效目标完成情况自评表</w:t>
      </w:r>
    </w:p>
    <w:p w14:paraId="53034860">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cs="Times New Roman"/>
          <w:color w:val="000000"/>
          <w:kern w:val="0"/>
          <w:szCs w:val="32"/>
          <w:highlight w:val="none"/>
          <w:shd w:val="clear" w:color="auto" w:fill="FFFFFF"/>
          <w:lang w:val="en-US" w:eastAsia="zh-CN"/>
        </w:rPr>
      </w:pPr>
    </w:p>
    <w:p w14:paraId="67B77CA4">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pPr>
    </w:p>
    <w:p w14:paraId="378AFA0E">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pPr>
    </w:p>
    <w:p w14:paraId="4E76552F">
      <w:pPr>
        <w:pStyle w:val="2"/>
        <w:rPr>
          <w:rFonts w:hint="default"/>
          <w:lang w:val="en-US" w:eastAsia="zh-CN"/>
        </w:rPr>
      </w:pPr>
    </w:p>
    <w:p w14:paraId="09DE3D87">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pPr>
    </w:p>
    <w:p w14:paraId="77B963DA">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pP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t>附表</w:t>
      </w:r>
      <w:r>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t>1</w:t>
      </w:r>
    </w:p>
    <w:p w14:paraId="102B50B6">
      <w:pPr>
        <w:keepNext w:val="0"/>
        <w:keepLines w:val="0"/>
        <w:pageBreakBefore w:val="0"/>
        <w:kinsoku/>
        <w:wordWrap/>
        <w:overflowPunct/>
        <w:topLinePunct w:val="0"/>
        <w:autoSpaceDE/>
        <w:autoSpaceDN/>
        <w:bidi w:val="0"/>
        <w:spacing w:line="578" w:lineRule="exact"/>
        <w:ind w:left="0" w:leftChars="0"/>
        <w:jc w:val="center"/>
        <w:textAlignment w:val="auto"/>
        <w:rPr>
          <w:rFonts w:hint="default" w:ascii="Times New Roman" w:hAnsi="Times New Roman" w:eastAsia="方正小标宋_GBK" w:cs="Times New Roman"/>
          <w:b w:val="0"/>
          <w:bCs w:val="0"/>
          <w:color w:val="auto"/>
          <w:sz w:val="40"/>
          <w:szCs w:val="40"/>
          <w:highlight w:val="none"/>
          <w:u w:val="none"/>
          <w:lang w:val="en-US" w:eastAsia="zh-CN"/>
        </w:rPr>
      </w:pPr>
      <w:r>
        <w:rPr>
          <w:rFonts w:hint="eastAsia" w:ascii="Times New Roman" w:hAnsi="Times New Roman" w:eastAsia="方正小标宋_GBK" w:cs="Times New Roman"/>
          <w:b w:val="0"/>
          <w:bCs w:val="0"/>
          <w:color w:val="auto"/>
          <w:sz w:val="40"/>
          <w:szCs w:val="40"/>
          <w:highlight w:val="none"/>
          <w:u w:val="none"/>
          <w:lang w:val="en-US" w:eastAsia="zh-CN"/>
        </w:rPr>
        <w:t>专项</w:t>
      </w:r>
      <w:r>
        <w:rPr>
          <w:rFonts w:hint="default" w:ascii="Times New Roman" w:hAnsi="Times New Roman" w:eastAsia="方正小标宋_GBK" w:cs="Times New Roman"/>
          <w:b w:val="0"/>
          <w:bCs w:val="0"/>
          <w:color w:val="auto"/>
          <w:sz w:val="40"/>
          <w:szCs w:val="40"/>
          <w:highlight w:val="none"/>
          <w:u w:val="none"/>
          <w:lang w:val="en-US" w:eastAsia="zh-CN"/>
        </w:rPr>
        <w:t>预算绩效自评打分表</w:t>
      </w:r>
    </w:p>
    <w:tbl>
      <w:tblPr>
        <w:tblStyle w:val="9"/>
        <w:tblW w:w="1090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0"/>
        <w:gridCol w:w="765"/>
        <w:gridCol w:w="825"/>
        <w:gridCol w:w="1460"/>
        <w:gridCol w:w="591"/>
        <w:gridCol w:w="5340"/>
        <w:gridCol w:w="732"/>
        <w:gridCol w:w="468"/>
      </w:tblGrid>
      <w:tr w14:paraId="5987B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361" w:type="dxa"/>
            <w:gridSpan w:val="5"/>
            <w:tcBorders>
              <w:top w:val="single" w:color="000000" w:sz="4" w:space="0"/>
              <w:left w:val="single" w:color="000000" w:sz="4" w:space="0"/>
              <w:bottom w:val="nil"/>
              <w:right w:val="nil"/>
            </w:tcBorders>
            <w:noWrap w:val="0"/>
            <w:vAlign w:val="center"/>
          </w:tcPr>
          <w:p w14:paraId="781F52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绩效评价指标</w:t>
            </w:r>
          </w:p>
        </w:tc>
        <w:tc>
          <w:tcPr>
            <w:tcW w:w="5340" w:type="dxa"/>
            <w:vMerge w:val="restart"/>
            <w:tcBorders>
              <w:top w:val="single" w:color="000000" w:sz="4" w:space="0"/>
              <w:left w:val="single" w:color="000000" w:sz="4" w:space="0"/>
              <w:bottom w:val="single" w:color="000000" w:sz="4" w:space="0"/>
              <w:right w:val="single" w:color="000000" w:sz="4" w:space="0"/>
            </w:tcBorders>
            <w:noWrap w:val="0"/>
            <w:vAlign w:val="center"/>
          </w:tcPr>
          <w:p w14:paraId="5CD281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指标解释</w:t>
            </w:r>
          </w:p>
        </w:tc>
        <w:tc>
          <w:tcPr>
            <w:tcW w:w="732" w:type="dxa"/>
            <w:vMerge w:val="restart"/>
            <w:tcBorders>
              <w:top w:val="single" w:color="000000" w:sz="4" w:space="0"/>
              <w:left w:val="single" w:color="000000" w:sz="4" w:space="0"/>
              <w:right w:val="single" w:color="000000" w:sz="4" w:space="0"/>
            </w:tcBorders>
            <w:noWrap w:val="0"/>
            <w:vAlign w:val="center"/>
          </w:tcPr>
          <w:p w14:paraId="3A1CCC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kern w:val="0"/>
                <w:sz w:val="24"/>
                <w:szCs w:val="24"/>
                <w:u w:val="none"/>
                <w:lang w:val="en-US" w:eastAsia="zh-CN" w:bidi="ar"/>
              </w:rPr>
            </w:pPr>
            <w:r>
              <w:rPr>
                <w:rFonts w:hint="eastAsia" w:ascii="黑体" w:hAnsi="宋体" w:eastAsia="黑体" w:cs="黑体"/>
                <w:i w:val="0"/>
                <w:color w:val="000000"/>
                <w:kern w:val="0"/>
                <w:sz w:val="24"/>
                <w:szCs w:val="24"/>
                <w:u w:val="none"/>
                <w:lang w:val="en-US" w:eastAsia="zh-CN" w:bidi="ar"/>
              </w:rPr>
              <w:t>自评得分</w:t>
            </w:r>
          </w:p>
        </w:tc>
        <w:tc>
          <w:tcPr>
            <w:tcW w:w="468" w:type="dxa"/>
            <w:vMerge w:val="restart"/>
            <w:tcBorders>
              <w:top w:val="single" w:color="000000" w:sz="4" w:space="0"/>
              <w:left w:val="single" w:color="000000" w:sz="4" w:space="0"/>
              <w:right w:val="single" w:color="000000" w:sz="4" w:space="0"/>
            </w:tcBorders>
            <w:noWrap w:val="0"/>
            <w:vAlign w:val="center"/>
          </w:tcPr>
          <w:p w14:paraId="434AA3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kern w:val="0"/>
                <w:sz w:val="24"/>
                <w:szCs w:val="24"/>
                <w:u w:val="none"/>
                <w:lang w:val="en-US" w:eastAsia="zh-CN" w:bidi="ar"/>
              </w:rPr>
            </w:pPr>
            <w:r>
              <w:rPr>
                <w:rFonts w:hint="eastAsia" w:ascii="黑体" w:hAnsi="宋体" w:eastAsia="黑体" w:cs="黑体"/>
                <w:i w:val="0"/>
                <w:color w:val="000000"/>
                <w:kern w:val="0"/>
                <w:sz w:val="24"/>
                <w:szCs w:val="24"/>
                <w:u w:val="none"/>
                <w:lang w:val="en-US" w:eastAsia="zh-CN" w:bidi="ar"/>
              </w:rPr>
              <w:t>备注</w:t>
            </w:r>
          </w:p>
        </w:tc>
      </w:tr>
      <w:tr w14:paraId="77056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79C7EC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一级指标</w:t>
            </w:r>
          </w:p>
        </w:tc>
        <w:tc>
          <w:tcPr>
            <w:tcW w:w="1590" w:type="dxa"/>
            <w:gridSpan w:val="2"/>
            <w:tcBorders>
              <w:top w:val="single" w:color="000000" w:sz="4" w:space="0"/>
              <w:left w:val="single" w:color="000000" w:sz="4" w:space="0"/>
              <w:bottom w:val="single" w:color="000000" w:sz="4" w:space="0"/>
              <w:right w:val="single" w:color="000000" w:sz="4" w:space="0"/>
            </w:tcBorders>
            <w:noWrap w:val="0"/>
            <w:vAlign w:val="center"/>
          </w:tcPr>
          <w:p w14:paraId="009FD5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二级指标</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0129B8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三级指标</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3EFF57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指标</w:t>
            </w:r>
            <w:r>
              <w:rPr>
                <w:rFonts w:hint="eastAsia" w:ascii="黑体" w:hAnsi="宋体" w:eastAsia="黑体" w:cs="黑体"/>
                <w:i w:val="0"/>
                <w:color w:val="000000"/>
                <w:kern w:val="0"/>
                <w:sz w:val="24"/>
                <w:szCs w:val="24"/>
                <w:u w:val="none"/>
                <w:lang w:val="en-US" w:eastAsia="zh-CN" w:bidi="ar"/>
              </w:rPr>
              <w:br w:type="textWrapping"/>
            </w:r>
            <w:r>
              <w:rPr>
                <w:rFonts w:hint="eastAsia" w:ascii="黑体" w:hAnsi="宋体" w:eastAsia="黑体" w:cs="黑体"/>
                <w:i w:val="0"/>
                <w:color w:val="000000"/>
                <w:kern w:val="0"/>
                <w:sz w:val="24"/>
                <w:szCs w:val="24"/>
                <w:u w:val="none"/>
                <w:lang w:val="en-US" w:eastAsia="zh-CN" w:bidi="ar"/>
              </w:rPr>
              <w:t>分值</w:t>
            </w:r>
          </w:p>
        </w:tc>
        <w:tc>
          <w:tcPr>
            <w:tcW w:w="53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93F6FE">
            <w:pPr>
              <w:keepNext w:val="0"/>
              <w:keepLines w:val="0"/>
              <w:pageBreakBefore w:val="0"/>
              <w:widowControl/>
              <w:kinsoku/>
              <w:wordWrap/>
              <w:overflowPunct/>
              <w:topLinePunct w:val="0"/>
              <w:autoSpaceDE/>
              <w:autoSpaceDN/>
              <w:bidi w:val="0"/>
              <w:adjustRightInd/>
              <w:snapToGrid/>
              <w:spacing w:line="240" w:lineRule="exact"/>
              <w:jc w:val="center"/>
              <w:rPr>
                <w:rFonts w:hint="eastAsia" w:ascii="黑体" w:hAnsi="宋体" w:eastAsia="黑体" w:cs="黑体"/>
                <w:i w:val="0"/>
                <w:color w:val="000000"/>
                <w:sz w:val="24"/>
                <w:szCs w:val="24"/>
                <w:u w:val="none"/>
              </w:rPr>
            </w:pPr>
          </w:p>
        </w:tc>
        <w:tc>
          <w:tcPr>
            <w:tcW w:w="732" w:type="dxa"/>
            <w:vMerge w:val="continue"/>
            <w:tcBorders>
              <w:left w:val="single" w:color="000000" w:sz="4" w:space="0"/>
              <w:bottom w:val="single" w:color="000000" w:sz="4" w:space="0"/>
              <w:right w:val="single" w:color="000000" w:sz="4" w:space="0"/>
            </w:tcBorders>
            <w:noWrap w:val="0"/>
            <w:vAlign w:val="center"/>
          </w:tcPr>
          <w:p w14:paraId="4E741A3D">
            <w:pPr>
              <w:keepNext w:val="0"/>
              <w:keepLines w:val="0"/>
              <w:pageBreakBefore w:val="0"/>
              <w:widowControl/>
              <w:kinsoku/>
              <w:wordWrap/>
              <w:overflowPunct/>
              <w:topLinePunct w:val="0"/>
              <w:autoSpaceDE/>
              <w:autoSpaceDN/>
              <w:bidi w:val="0"/>
              <w:adjustRightInd/>
              <w:snapToGrid/>
              <w:spacing w:line="240" w:lineRule="exact"/>
              <w:jc w:val="center"/>
              <w:rPr>
                <w:rFonts w:hint="eastAsia" w:ascii="黑体" w:hAnsi="宋体" w:eastAsia="黑体" w:cs="黑体"/>
                <w:i w:val="0"/>
                <w:color w:val="000000"/>
                <w:sz w:val="24"/>
                <w:szCs w:val="24"/>
                <w:u w:val="none"/>
              </w:rPr>
            </w:pPr>
          </w:p>
        </w:tc>
        <w:tc>
          <w:tcPr>
            <w:tcW w:w="468" w:type="dxa"/>
            <w:vMerge w:val="continue"/>
            <w:tcBorders>
              <w:left w:val="single" w:color="000000" w:sz="4" w:space="0"/>
              <w:bottom w:val="single" w:color="000000" w:sz="4" w:space="0"/>
              <w:right w:val="single" w:color="000000" w:sz="4" w:space="0"/>
            </w:tcBorders>
            <w:noWrap w:val="0"/>
            <w:vAlign w:val="center"/>
          </w:tcPr>
          <w:p w14:paraId="21D42E3E">
            <w:pPr>
              <w:keepNext w:val="0"/>
              <w:keepLines w:val="0"/>
              <w:pageBreakBefore w:val="0"/>
              <w:widowControl/>
              <w:kinsoku/>
              <w:wordWrap/>
              <w:overflowPunct/>
              <w:topLinePunct w:val="0"/>
              <w:autoSpaceDE/>
              <w:autoSpaceDN/>
              <w:bidi w:val="0"/>
              <w:adjustRightInd/>
              <w:snapToGrid/>
              <w:spacing w:line="240" w:lineRule="exact"/>
              <w:jc w:val="center"/>
              <w:rPr>
                <w:rFonts w:hint="eastAsia" w:ascii="黑体" w:hAnsi="宋体" w:eastAsia="黑体" w:cs="黑体"/>
                <w:i w:val="0"/>
                <w:color w:val="000000"/>
                <w:sz w:val="24"/>
                <w:szCs w:val="24"/>
                <w:u w:val="none"/>
              </w:rPr>
            </w:pPr>
          </w:p>
        </w:tc>
      </w:tr>
      <w:tr w14:paraId="6A7B6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restart"/>
            <w:tcBorders>
              <w:top w:val="single" w:color="000000" w:sz="4" w:space="0"/>
              <w:left w:val="single" w:color="000000" w:sz="4" w:space="0"/>
              <w:bottom w:val="single" w:color="000000" w:sz="4" w:space="0"/>
              <w:right w:val="single" w:color="000000" w:sz="4" w:space="0"/>
            </w:tcBorders>
            <w:noWrap w:val="0"/>
            <w:vAlign w:val="center"/>
          </w:tcPr>
          <w:p w14:paraId="6D0116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通用指标</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（54分）</w:t>
            </w: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06702B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项目决策</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（18分）</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3C9771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决策程序</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67FE2F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B4F3C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项目决策程序是否严密</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0B35D6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81BC7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BECD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54B53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565AFC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6A3E8E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规划论证</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57DFEC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6C3404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项目规划论证是否符合中省要求，项目绩效目标设置是否科学合理</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41956A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56BBF6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31E1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5E178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8854F9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368534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资金投向</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15FCBE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0B047B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项目资金是否与项目总体规划、相关行业事业发展相匹配，是否聚焦重大任务、重点领域、重点环节和重点项目</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3B6FDE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28D84C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4674D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F5AF7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467DC0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项目管理</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（18分）</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2907A2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制度办法</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0820BD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4BF19C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项目制度办法是否体系健全、要素完备</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7670D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513CD6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5E4DE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68FF5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FC2F88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395461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分配管理</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609E14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416A8C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项目资金分配因素选取、权重设置、区域分布，项目管理、审批是否符合管理要求</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0EA59F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10</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08894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7AA3E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7004F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0126EF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4A90FD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绩效监管</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3CA9F2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414931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管资金、项目、政策是否管绩效，项目绩效监管是否按要求开展，对下指导是否有力有效</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33288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F7BEA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2C04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137A7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55B89B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项目实施</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（9分）</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5B2CC4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预算执行</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5667BB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66709B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项目资金财政拨付、单位执行和地方配套到位情况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FAF22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182FB6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42C1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9FC9D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0AE167B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180A0D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资金使用</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0E1F08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546904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资金使用拨付、项目实施是否符合规定</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DBFED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CDF6E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F775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59C8E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7FDE7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项目结果</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（9分）</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5CABAC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目标完成</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23C6D1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01B13B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项目是否完成预期目标，实施结果是否与绩效目标相匹配，反映目标实现程度</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40511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7945B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43194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22627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484273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4083F4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完成时效</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15186D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31C58C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项目实际完成时间与计划完成时间的比较</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F822F0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17A481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9DD9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restart"/>
            <w:tcBorders>
              <w:top w:val="single" w:color="000000" w:sz="4" w:space="0"/>
              <w:left w:val="single" w:color="000000" w:sz="4" w:space="0"/>
              <w:bottom w:val="single" w:color="000000" w:sz="4" w:space="0"/>
              <w:right w:val="single" w:color="000000" w:sz="4" w:space="0"/>
            </w:tcBorders>
            <w:noWrap w:val="0"/>
            <w:vAlign w:val="center"/>
          </w:tcPr>
          <w:p w14:paraId="42B5B5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专用指标</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（30分）</w:t>
            </w: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5D79D0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产业发展</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（30分）</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6E2447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符合性</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0ED454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02DD76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项目实施是否与省委省政府支持重点、产业支持政策符合</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5BCAE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10</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5B8CE8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47E82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C1E21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0F0F57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4725E0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成长性</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03DED9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3A8A0C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项目实施对相关企业（机构）成长性的促进作用，主要反映支持对象创新创造创业能力情况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28A7E6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3E1224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EBE3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A1C76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8CA3CE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2F5CB3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经济性</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08598D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7B391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项目实施对相关企业（机构）主营业务收入、净利润、税收、产量等方面增长情况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7DDA35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3E032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66319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9F3B0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5AFEBA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民生保障</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（30分）</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023550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区域均衡性</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7C337A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DC043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项目资金分配体现的均衡公平情况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0A2D7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8509E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A723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8E959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E7C4F2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5B9526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对象精准性</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13A4C3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5709B5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资金实际支持对象是否符合管理要求，是否符合支持对象范围</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7DEE35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10</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110DA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696AC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153E0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2A7B0D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30A380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标准合理性</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4475AF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326170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资金实际补贴标准是否符合资金管理办法规定的补助标准，是否及时按标准兑现</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00C3F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598516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9364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F79D0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BA3273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669EE6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群众满意度</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497C76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3D702A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资金涉及相关受益群体、支持对象的满意度调查访谈情况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686DF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6379D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5C1E2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3FDA3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restart"/>
            <w:tcBorders>
              <w:top w:val="single" w:color="000000" w:sz="4" w:space="0"/>
              <w:left w:val="single" w:color="000000" w:sz="4" w:space="0"/>
              <w:bottom w:val="single" w:color="000000" w:sz="4" w:space="0"/>
              <w:right w:val="single" w:color="000000" w:sz="4" w:space="0"/>
            </w:tcBorders>
            <w:noWrap w:val="0"/>
            <w:vAlign w:val="center"/>
          </w:tcPr>
          <w:p w14:paraId="6A451B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基础</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设施</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（30分）</w:t>
            </w:r>
          </w:p>
        </w:tc>
        <w:tc>
          <w:tcPr>
            <w:tcW w:w="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63B350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在建</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项目</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1A34E4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工程进度</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7D3485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442127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项目是否达到计划工程进度</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00F830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5</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5E0045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51CF0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77648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8F636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DD937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230EDC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资金拨付</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076147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2296B3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项目是否达到预先确定的资金拨付进度</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52AFCE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5</w:t>
            </w:r>
            <w:bookmarkStart w:id="0" w:name="_GoBack"/>
            <w:bookmarkEnd w:id="0"/>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68B46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C69E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4F297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547B5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03261A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建成</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项目</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6C8D4A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项目验收</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6438B2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41479C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项目验收是否及时合格</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464CA6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25FF0E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0E54B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03E5B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62610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429A0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2F52FB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功能实现</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688CD7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1C14B3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项目经济社会功能是否实现</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FB9B3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67F9B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4616F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78028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E59D2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FFCAB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04AE33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后续管护</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306AA2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03421F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项目后续维护是否实现</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3E50A59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3BEEAD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0AF1B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restart"/>
            <w:tcBorders>
              <w:top w:val="single" w:color="000000" w:sz="4" w:space="0"/>
              <w:left w:val="single" w:color="000000" w:sz="4" w:space="0"/>
              <w:bottom w:val="single" w:color="000000" w:sz="4" w:space="0"/>
              <w:right w:val="single" w:color="000000" w:sz="4" w:space="0"/>
            </w:tcBorders>
            <w:noWrap w:val="0"/>
            <w:vAlign w:val="center"/>
          </w:tcPr>
          <w:p w14:paraId="22A678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专用指标</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（30分）</w:t>
            </w: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312502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行政运转</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（30分）</w:t>
            </w:r>
          </w:p>
        </w:tc>
        <w:tc>
          <w:tcPr>
            <w:tcW w:w="1460" w:type="dxa"/>
            <w:tcBorders>
              <w:top w:val="nil"/>
              <w:left w:val="single" w:color="000000" w:sz="4" w:space="0"/>
              <w:bottom w:val="single" w:color="000000" w:sz="4" w:space="0"/>
              <w:right w:val="single" w:color="000000" w:sz="4" w:space="0"/>
            </w:tcBorders>
            <w:noWrap w:val="0"/>
            <w:vAlign w:val="center"/>
          </w:tcPr>
          <w:p w14:paraId="7E8DC5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用途合规性</w:t>
            </w:r>
          </w:p>
        </w:tc>
        <w:tc>
          <w:tcPr>
            <w:tcW w:w="591" w:type="dxa"/>
            <w:tcBorders>
              <w:top w:val="nil"/>
              <w:left w:val="single" w:color="000000" w:sz="4" w:space="0"/>
              <w:bottom w:val="single" w:color="000000" w:sz="4" w:space="0"/>
              <w:right w:val="single" w:color="000000" w:sz="4" w:space="0"/>
            </w:tcBorders>
            <w:noWrap w:val="0"/>
            <w:vAlign w:val="center"/>
          </w:tcPr>
          <w:p w14:paraId="03B99E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nil"/>
              <w:left w:val="single" w:color="000000" w:sz="4" w:space="0"/>
              <w:bottom w:val="single" w:color="000000" w:sz="4" w:space="0"/>
              <w:right w:val="single" w:color="000000" w:sz="4" w:space="0"/>
            </w:tcBorders>
            <w:noWrap w:val="0"/>
            <w:vAlign w:val="center"/>
          </w:tcPr>
          <w:p w14:paraId="51A5CC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是否按规定用途、适用范围进行本地区专项资金分配</w:t>
            </w:r>
          </w:p>
        </w:tc>
        <w:tc>
          <w:tcPr>
            <w:tcW w:w="732" w:type="dxa"/>
            <w:tcBorders>
              <w:top w:val="nil"/>
              <w:left w:val="single" w:color="000000" w:sz="4" w:space="0"/>
              <w:bottom w:val="single" w:color="000000" w:sz="4" w:space="0"/>
              <w:right w:val="single" w:color="000000" w:sz="4" w:space="0"/>
            </w:tcBorders>
            <w:noWrap w:val="0"/>
            <w:vAlign w:val="center"/>
          </w:tcPr>
          <w:p w14:paraId="5C81C3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nil"/>
              <w:left w:val="single" w:color="000000" w:sz="4" w:space="0"/>
              <w:bottom w:val="single" w:color="000000" w:sz="4" w:space="0"/>
              <w:right w:val="single" w:color="000000" w:sz="4" w:space="0"/>
            </w:tcBorders>
            <w:noWrap w:val="0"/>
            <w:vAlign w:val="center"/>
          </w:tcPr>
          <w:p w14:paraId="191C5C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7157C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0452E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40967C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nil"/>
              <w:left w:val="single" w:color="000000" w:sz="4" w:space="0"/>
              <w:bottom w:val="single" w:color="000000" w:sz="4" w:space="0"/>
              <w:right w:val="single" w:color="000000" w:sz="4" w:space="0"/>
            </w:tcBorders>
            <w:noWrap w:val="0"/>
            <w:vAlign w:val="center"/>
          </w:tcPr>
          <w:p w14:paraId="0ECDF0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程序合规性</w:t>
            </w:r>
          </w:p>
        </w:tc>
        <w:tc>
          <w:tcPr>
            <w:tcW w:w="591" w:type="dxa"/>
            <w:tcBorders>
              <w:top w:val="nil"/>
              <w:left w:val="single" w:color="000000" w:sz="4" w:space="0"/>
              <w:bottom w:val="single" w:color="000000" w:sz="4" w:space="0"/>
              <w:right w:val="single" w:color="000000" w:sz="4" w:space="0"/>
            </w:tcBorders>
            <w:noWrap w:val="0"/>
            <w:vAlign w:val="center"/>
          </w:tcPr>
          <w:p w14:paraId="5579EA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3B36C7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资金管理程序是否符合专项资金管理要求</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33BA7A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CFB9B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24345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382C1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16EBB0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nil"/>
              <w:left w:val="single" w:color="000000" w:sz="4" w:space="0"/>
              <w:bottom w:val="single" w:color="000000" w:sz="4" w:space="0"/>
              <w:right w:val="single" w:color="000000" w:sz="4" w:space="0"/>
            </w:tcBorders>
            <w:noWrap w:val="0"/>
            <w:vAlign w:val="center"/>
          </w:tcPr>
          <w:p w14:paraId="6E9456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标准合规性</w:t>
            </w:r>
          </w:p>
        </w:tc>
        <w:tc>
          <w:tcPr>
            <w:tcW w:w="591" w:type="dxa"/>
            <w:tcBorders>
              <w:top w:val="nil"/>
              <w:left w:val="single" w:color="000000" w:sz="4" w:space="0"/>
              <w:bottom w:val="single" w:color="000000" w:sz="4" w:space="0"/>
              <w:right w:val="single" w:color="000000" w:sz="4" w:space="0"/>
            </w:tcBorders>
            <w:noWrap w:val="0"/>
            <w:vAlign w:val="center"/>
          </w:tcPr>
          <w:p w14:paraId="40198A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6B1FFC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资金分配标准是否符合专项资金管理要求</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4675AE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C9327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55B36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31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14:paraId="28A3DF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个性指标</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（16分）</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147FC7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5E432D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5340" w:type="dxa"/>
            <w:vMerge w:val="restart"/>
            <w:tcBorders>
              <w:top w:val="single" w:color="000000" w:sz="4" w:space="0"/>
              <w:left w:val="single" w:color="000000" w:sz="4" w:space="0"/>
              <w:bottom w:val="single" w:color="000000" w:sz="4" w:space="0"/>
              <w:right w:val="single" w:color="000000" w:sz="4" w:space="0"/>
            </w:tcBorders>
            <w:noWrap w:val="0"/>
            <w:vAlign w:val="center"/>
          </w:tcPr>
          <w:p w14:paraId="3371E5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预算数与执行数对比</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25D6CD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0056B2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68B1B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31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2513394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230DE6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资金支付率</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457C0B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6F52FE">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FDA3CF7">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4</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28AE4B99">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r>
      <w:tr w14:paraId="34520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31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10D446F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2C2A92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246A31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53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A86511">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BE52C03">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510FD8C">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r>
      <w:tr w14:paraId="75DB5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310" w:type="dxa"/>
            <w:gridSpan w:val="3"/>
            <w:tcBorders>
              <w:top w:val="single" w:color="000000" w:sz="4" w:space="0"/>
              <w:left w:val="single" w:color="000000" w:sz="4" w:space="0"/>
              <w:bottom w:val="single" w:color="000000" w:sz="4" w:space="0"/>
              <w:right w:val="single" w:color="000000" w:sz="4" w:space="0"/>
            </w:tcBorders>
            <w:noWrap w:val="0"/>
            <w:vAlign w:val="center"/>
          </w:tcPr>
          <w:p w14:paraId="24B199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扣分项</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（10分）</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49CC42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被评价</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部门配合度</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30E213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B7CF9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被评价对象工作配合情况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02C1CD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648B4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bl>
    <w:p w14:paraId="3AC5D5F3">
      <w:pPr>
        <w:keepNext w:val="0"/>
        <w:keepLines w:val="0"/>
        <w:pageBreakBefore w:val="0"/>
        <w:kinsoku/>
        <w:wordWrap/>
        <w:overflowPunct/>
        <w:topLinePunct w:val="0"/>
        <w:autoSpaceDE/>
        <w:autoSpaceDN/>
        <w:bidi w:val="0"/>
        <w:spacing w:line="578" w:lineRule="exact"/>
        <w:ind w:left="0" w:leftChars="0"/>
        <w:jc w:val="both"/>
        <w:textAlignment w:val="auto"/>
        <w:rPr>
          <w:rFonts w:hint="eastAsia" w:eastAsia="黑体" w:cs="Times New Roman"/>
          <w:b w:val="0"/>
          <w:bCs w:val="0"/>
          <w:color w:val="auto"/>
          <w:kern w:val="0"/>
          <w:sz w:val="32"/>
          <w:szCs w:val="32"/>
          <w:highlight w:val="none"/>
          <w:u w:val="none"/>
          <w:shd w:val="clear" w:color="auto" w:fill="FFFFFF"/>
          <w:lang w:val="en-US" w:eastAsia="zh-CN"/>
        </w:rPr>
      </w:pP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br w:type="page"/>
      </w: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t>附表</w:t>
      </w:r>
      <w:r>
        <w:rPr>
          <w:rFonts w:hint="eastAsia" w:eastAsia="黑体" w:cs="Times New Roman"/>
          <w:b w:val="0"/>
          <w:bCs w:val="0"/>
          <w:color w:val="auto"/>
          <w:kern w:val="0"/>
          <w:sz w:val="32"/>
          <w:szCs w:val="32"/>
          <w:highlight w:val="none"/>
          <w:u w:val="none"/>
          <w:shd w:val="clear" w:color="auto" w:fill="FFFFFF"/>
          <w:lang w:val="en-US" w:eastAsia="zh-CN"/>
        </w:rPr>
        <w:t>2</w:t>
      </w:r>
    </w:p>
    <w:p w14:paraId="3CE7D639">
      <w:pPr>
        <w:pStyle w:val="2"/>
        <w:rPr>
          <w:rFonts w:hint="default"/>
          <w:lang w:val="en-US" w:eastAsia="zh-CN"/>
        </w:rPr>
      </w:pPr>
    </w:p>
    <w:p w14:paraId="6B909F8D">
      <w:pPr>
        <w:keepNext w:val="0"/>
        <w:keepLines w:val="0"/>
        <w:pageBreakBefore w:val="0"/>
        <w:kinsoku/>
        <w:wordWrap/>
        <w:overflowPunct/>
        <w:topLinePunct w:val="0"/>
        <w:autoSpaceDE/>
        <w:autoSpaceDN/>
        <w:bidi w:val="0"/>
        <w:spacing w:line="578" w:lineRule="exact"/>
        <w:ind w:left="0" w:leftChars="0"/>
        <w:jc w:val="center"/>
        <w:textAlignment w:val="auto"/>
        <w:rPr>
          <w:rFonts w:hint="default" w:ascii="Times New Roman" w:hAnsi="Times New Roman" w:eastAsia="方正小标宋_GBK" w:cs="Times New Roman"/>
          <w:b w:val="0"/>
          <w:bCs w:val="0"/>
          <w:color w:val="auto"/>
          <w:sz w:val="40"/>
          <w:szCs w:val="40"/>
          <w:highlight w:val="none"/>
          <w:u w:val="none"/>
          <w:lang w:val="en-US" w:eastAsia="zh-CN"/>
        </w:rPr>
      </w:pPr>
      <w:r>
        <w:rPr>
          <w:rFonts w:hint="default" w:ascii="Times New Roman" w:hAnsi="Times New Roman" w:eastAsia="方正小标宋_GBK" w:cs="Times New Roman"/>
          <w:b w:val="0"/>
          <w:bCs w:val="0"/>
          <w:color w:val="auto"/>
          <w:sz w:val="40"/>
          <w:szCs w:val="40"/>
          <w:highlight w:val="none"/>
          <w:u w:val="none"/>
          <w:lang w:val="en-US" w:eastAsia="zh-CN"/>
        </w:rPr>
        <w:t>专项预算绩效自评实地踏勘点位清单表</w:t>
      </w:r>
    </w:p>
    <w:p w14:paraId="49EF7E73">
      <w:pPr>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ascii="楷体_GB2312" w:hAnsi="楷体_GB2312" w:eastAsia="楷体_GB2312" w:cs="楷体_GB2312"/>
          <w:b w:val="0"/>
          <w:bCs w:val="0"/>
          <w:color w:val="auto"/>
          <w:sz w:val="28"/>
          <w:szCs w:val="28"/>
          <w:highlight w:val="none"/>
          <w:u w:val="none"/>
          <w:lang w:val="en-US" w:eastAsia="zh-CN"/>
        </w:rPr>
      </w:pPr>
      <w:r>
        <w:rPr>
          <w:rFonts w:hint="eastAsia" w:ascii="楷体_GB2312" w:hAnsi="楷体_GB2312" w:eastAsia="楷体_GB2312" w:cs="楷体_GB2312"/>
          <w:b w:val="0"/>
          <w:bCs w:val="0"/>
          <w:color w:val="auto"/>
          <w:sz w:val="28"/>
          <w:szCs w:val="28"/>
          <w:highlight w:val="none"/>
          <w:u w:val="none"/>
          <w:lang w:val="en-US" w:eastAsia="zh-CN"/>
        </w:rPr>
        <w:t>（例表）</w:t>
      </w:r>
    </w:p>
    <w:tbl>
      <w:tblPr>
        <w:tblStyle w:val="10"/>
        <w:tblW w:w="79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5956"/>
        <w:gridCol w:w="905"/>
      </w:tblGrid>
      <w:tr w14:paraId="78BC6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6D92B521">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黑体" w:cs="Times New Roman"/>
                <w:b w:val="0"/>
                <w:bCs w:val="0"/>
                <w:color w:val="auto"/>
                <w:sz w:val="24"/>
                <w:szCs w:val="24"/>
                <w:highlight w:val="none"/>
                <w:u w:val="none"/>
                <w:vertAlign w:val="baseline"/>
                <w:lang w:val="en-US" w:eastAsia="zh-CN"/>
              </w:rPr>
            </w:pPr>
            <w:r>
              <w:rPr>
                <w:rFonts w:hint="default" w:ascii="Times New Roman" w:hAnsi="Times New Roman" w:eastAsia="黑体" w:cs="Times New Roman"/>
                <w:b w:val="0"/>
                <w:bCs w:val="0"/>
                <w:color w:val="auto"/>
                <w:sz w:val="24"/>
                <w:szCs w:val="24"/>
                <w:highlight w:val="none"/>
                <w:u w:val="none"/>
                <w:vertAlign w:val="baseline"/>
                <w:lang w:val="en-US" w:eastAsia="zh-CN"/>
              </w:rPr>
              <w:t>序号</w:t>
            </w:r>
          </w:p>
        </w:tc>
        <w:tc>
          <w:tcPr>
            <w:tcW w:w="5956" w:type="dxa"/>
            <w:noWrap w:val="0"/>
            <w:vAlign w:val="top"/>
          </w:tcPr>
          <w:p w14:paraId="3268B29D">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黑体" w:cs="Times New Roman"/>
                <w:b w:val="0"/>
                <w:bCs w:val="0"/>
                <w:color w:val="auto"/>
                <w:sz w:val="24"/>
                <w:szCs w:val="24"/>
                <w:highlight w:val="none"/>
                <w:u w:val="none"/>
                <w:vertAlign w:val="baseline"/>
                <w:lang w:val="en" w:eastAsia="zh-CN"/>
              </w:rPr>
            </w:pPr>
            <w:r>
              <w:rPr>
                <w:rFonts w:hint="default" w:ascii="Times New Roman" w:hAnsi="Times New Roman" w:eastAsia="黑体" w:cs="Times New Roman"/>
                <w:b w:val="0"/>
                <w:bCs w:val="0"/>
                <w:color w:val="auto"/>
                <w:sz w:val="24"/>
                <w:szCs w:val="24"/>
                <w:highlight w:val="none"/>
                <w:u w:val="none"/>
                <w:vertAlign w:val="baseline"/>
                <w:lang w:val="en-US" w:eastAsia="zh-CN"/>
              </w:rPr>
              <w:t>实地踏勘点位</w:t>
            </w:r>
          </w:p>
        </w:tc>
        <w:tc>
          <w:tcPr>
            <w:tcW w:w="905" w:type="dxa"/>
            <w:noWrap w:val="0"/>
            <w:vAlign w:val="top"/>
          </w:tcPr>
          <w:p w14:paraId="3F5E312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黑体" w:cs="Times New Roman"/>
                <w:b w:val="0"/>
                <w:bCs w:val="0"/>
                <w:color w:val="auto"/>
                <w:sz w:val="24"/>
                <w:szCs w:val="24"/>
                <w:highlight w:val="none"/>
                <w:u w:val="none"/>
                <w:vertAlign w:val="baseline"/>
                <w:lang w:val="en-US" w:eastAsia="zh-CN"/>
              </w:rPr>
            </w:pPr>
            <w:r>
              <w:rPr>
                <w:rFonts w:hint="default" w:ascii="Times New Roman" w:hAnsi="Times New Roman" w:eastAsia="黑体" w:cs="Times New Roman"/>
                <w:b w:val="0"/>
                <w:bCs w:val="0"/>
                <w:color w:val="auto"/>
                <w:sz w:val="24"/>
                <w:szCs w:val="24"/>
                <w:highlight w:val="none"/>
                <w:u w:val="none"/>
                <w:vertAlign w:val="baseline"/>
                <w:lang w:val="en-US" w:eastAsia="zh-CN"/>
              </w:rPr>
              <w:t>备注</w:t>
            </w:r>
          </w:p>
        </w:tc>
      </w:tr>
      <w:tr w14:paraId="4FFF8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33B819A6">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1</w:t>
            </w:r>
          </w:p>
        </w:tc>
        <w:tc>
          <w:tcPr>
            <w:tcW w:w="5956" w:type="dxa"/>
            <w:noWrap w:val="0"/>
            <w:vAlign w:val="top"/>
          </w:tcPr>
          <w:p w14:paraId="300FF81A">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r>
              <w:rPr>
                <w:rFonts w:hint="eastAsia" w:cs="Times New Roman"/>
                <w:color w:val="auto"/>
                <w:sz w:val="24"/>
                <w:szCs w:val="24"/>
                <w:highlight w:val="none"/>
                <w:u w:val="none"/>
                <w:vertAlign w:val="baseline"/>
                <w:lang w:val="en" w:eastAsia="zh-CN"/>
              </w:rPr>
              <w:t>阿坝</w:t>
            </w:r>
            <w:r>
              <w:rPr>
                <w:rFonts w:hint="eastAsia" w:cs="Times New Roman"/>
                <w:color w:val="auto"/>
                <w:sz w:val="24"/>
                <w:szCs w:val="24"/>
                <w:highlight w:val="none"/>
                <w:u w:val="none"/>
                <w:vertAlign w:val="baseline"/>
                <w:lang w:val="en-US" w:eastAsia="zh-CN"/>
              </w:rPr>
              <w:t>州林草局</w:t>
            </w:r>
          </w:p>
        </w:tc>
        <w:tc>
          <w:tcPr>
            <w:tcW w:w="905" w:type="dxa"/>
            <w:noWrap w:val="0"/>
            <w:vAlign w:val="top"/>
          </w:tcPr>
          <w:p w14:paraId="3AD96D1E">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51361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78310F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p>
        </w:tc>
        <w:tc>
          <w:tcPr>
            <w:tcW w:w="5956" w:type="dxa"/>
            <w:noWrap w:val="0"/>
            <w:vAlign w:val="top"/>
          </w:tcPr>
          <w:p w14:paraId="256E410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p>
        </w:tc>
        <w:tc>
          <w:tcPr>
            <w:tcW w:w="905" w:type="dxa"/>
            <w:noWrap w:val="0"/>
            <w:vAlign w:val="top"/>
          </w:tcPr>
          <w:p w14:paraId="78483220">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69302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C74E9BD">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p>
        </w:tc>
        <w:tc>
          <w:tcPr>
            <w:tcW w:w="5956" w:type="dxa"/>
            <w:noWrap w:val="0"/>
            <w:vAlign w:val="top"/>
          </w:tcPr>
          <w:p w14:paraId="653AD4A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p>
        </w:tc>
        <w:tc>
          <w:tcPr>
            <w:tcW w:w="905" w:type="dxa"/>
            <w:noWrap w:val="0"/>
            <w:vAlign w:val="top"/>
          </w:tcPr>
          <w:p w14:paraId="28EA6C46">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2D56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2DB8F02F">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p>
        </w:tc>
        <w:tc>
          <w:tcPr>
            <w:tcW w:w="5956" w:type="dxa"/>
            <w:noWrap w:val="0"/>
            <w:vAlign w:val="top"/>
          </w:tcPr>
          <w:p w14:paraId="62E93A39">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p>
        </w:tc>
        <w:tc>
          <w:tcPr>
            <w:tcW w:w="905" w:type="dxa"/>
            <w:noWrap w:val="0"/>
            <w:vAlign w:val="top"/>
          </w:tcPr>
          <w:p w14:paraId="46EE7A9E">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4B4F6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46F5DC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p>
        </w:tc>
        <w:tc>
          <w:tcPr>
            <w:tcW w:w="5956" w:type="dxa"/>
            <w:noWrap w:val="0"/>
            <w:vAlign w:val="top"/>
          </w:tcPr>
          <w:p w14:paraId="6F60C463">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p>
        </w:tc>
        <w:tc>
          <w:tcPr>
            <w:tcW w:w="905" w:type="dxa"/>
            <w:noWrap w:val="0"/>
            <w:vAlign w:val="top"/>
          </w:tcPr>
          <w:p w14:paraId="5001E44C">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6B0B4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7C7E6F0E">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p>
        </w:tc>
        <w:tc>
          <w:tcPr>
            <w:tcW w:w="5956" w:type="dxa"/>
            <w:noWrap w:val="0"/>
            <w:vAlign w:val="top"/>
          </w:tcPr>
          <w:p w14:paraId="3F5E5B26">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 w:eastAsia="zh-CN"/>
              </w:rPr>
            </w:pPr>
          </w:p>
        </w:tc>
        <w:tc>
          <w:tcPr>
            <w:tcW w:w="905" w:type="dxa"/>
            <w:noWrap w:val="0"/>
            <w:vAlign w:val="top"/>
          </w:tcPr>
          <w:p w14:paraId="57E5921B">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7C0DA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6ACED0E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p>
        </w:tc>
        <w:tc>
          <w:tcPr>
            <w:tcW w:w="5956" w:type="dxa"/>
            <w:noWrap w:val="0"/>
            <w:vAlign w:val="top"/>
          </w:tcPr>
          <w:p w14:paraId="31FE5D5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 w:eastAsia="zh-CN"/>
              </w:rPr>
            </w:pPr>
          </w:p>
        </w:tc>
        <w:tc>
          <w:tcPr>
            <w:tcW w:w="905" w:type="dxa"/>
            <w:noWrap w:val="0"/>
            <w:vAlign w:val="top"/>
          </w:tcPr>
          <w:p w14:paraId="639197B6">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18E2F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7997754E">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p>
        </w:tc>
        <w:tc>
          <w:tcPr>
            <w:tcW w:w="5956" w:type="dxa"/>
            <w:noWrap w:val="0"/>
            <w:vAlign w:val="top"/>
          </w:tcPr>
          <w:p w14:paraId="46F7ACB5">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p>
        </w:tc>
        <w:tc>
          <w:tcPr>
            <w:tcW w:w="905" w:type="dxa"/>
            <w:noWrap w:val="0"/>
            <w:vAlign w:val="top"/>
          </w:tcPr>
          <w:p w14:paraId="575F8646">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7269A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77851799">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57C9FF19">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 w:eastAsia="zh-CN"/>
              </w:rPr>
            </w:pPr>
          </w:p>
        </w:tc>
        <w:tc>
          <w:tcPr>
            <w:tcW w:w="905" w:type="dxa"/>
            <w:noWrap w:val="0"/>
            <w:vAlign w:val="top"/>
          </w:tcPr>
          <w:p w14:paraId="6661EF31">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23B31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C90E11F">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0EFC2C7D">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7B8700EC">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1E3B4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4A1F771B">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2A98E302">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16B56580">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1BCC3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090272AA">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5F1D8F9C">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0B359911">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2EB8B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69D1016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16F828F3">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6E9166D9">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6DC59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6709A8A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4C671CF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21CA761C">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407CF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00AC3F0B">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6DB7BB6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76F4D87B">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47396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202B66E1">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55A668B3">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7192A938">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69BCA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717213BF">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7B71E76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2346EFB4">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064E3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4137E13">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43A12E7B">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24934174">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6E86F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43A5B3FD">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64B1F2E2">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 w:eastAsia="zh-CN"/>
              </w:rPr>
            </w:pPr>
          </w:p>
        </w:tc>
        <w:tc>
          <w:tcPr>
            <w:tcW w:w="905" w:type="dxa"/>
            <w:noWrap w:val="0"/>
            <w:vAlign w:val="top"/>
          </w:tcPr>
          <w:p w14:paraId="681796B2">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37BFA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7A355E5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4BAED1E8">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 w:eastAsia="zh-CN"/>
              </w:rPr>
            </w:pPr>
          </w:p>
        </w:tc>
        <w:tc>
          <w:tcPr>
            <w:tcW w:w="905" w:type="dxa"/>
            <w:noWrap w:val="0"/>
            <w:vAlign w:val="top"/>
          </w:tcPr>
          <w:p w14:paraId="26DD5DA7">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bl>
    <w:p w14:paraId="3B149EFA">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default" w:ascii="Times New Roman" w:hAnsi="Times New Roman" w:eastAsia="宋体" w:cs="Times New Roman"/>
          <w:b w:val="0"/>
          <w:bCs w:val="0"/>
          <w:color w:val="auto"/>
          <w:sz w:val="21"/>
          <w:szCs w:val="21"/>
          <w:highlight w:val="none"/>
          <w:u w:val="none"/>
          <w:vertAlign w:val="baseline"/>
          <w:lang w:val="en-US" w:eastAsia="zh-CN"/>
        </w:rPr>
        <w:t>备注：项目</w:t>
      </w:r>
      <w:r>
        <w:rPr>
          <w:rFonts w:hint="eastAsia" w:eastAsia="宋体" w:cs="Times New Roman"/>
          <w:b w:val="0"/>
          <w:bCs w:val="0"/>
          <w:color w:val="auto"/>
          <w:sz w:val="21"/>
          <w:szCs w:val="21"/>
          <w:highlight w:val="none"/>
          <w:u w:val="none"/>
          <w:vertAlign w:val="baseline"/>
          <w:lang w:val="en-US" w:eastAsia="zh-CN"/>
        </w:rPr>
        <w:t>实地踏勘</w:t>
      </w:r>
      <w:r>
        <w:rPr>
          <w:rFonts w:hint="default" w:ascii="Times New Roman" w:hAnsi="Times New Roman" w:eastAsia="宋体" w:cs="Times New Roman"/>
          <w:b w:val="0"/>
          <w:bCs w:val="0"/>
          <w:color w:val="auto"/>
          <w:sz w:val="21"/>
          <w:szCs w:val="21"/>
          <w:highlight w:val="none"/>
          <w:u w:val="none"/>
          <w:vertAlign w:val="baseline"/>
          <w:lang w:val="en-US" w:eastAsia="zh-CN"/>
        </w:rPr>
        <w:t>点位包括市（州）本级、县（市、区）</w:t>
      </w:r>
      <w:r>
        <w:rPr>
          <w:rFonts w:hint="eastAsia" w:eastAsia="宋体" w:cs="Times New Roman"/>
          <w:b w:val="0"/>
          <w:bCs w:val="0"/>
          <w:color w:val="auto"/>
          <w:sz w:val="21"/>
          <w:szCs w:val="21"/>
          <w:highlight w:val="none"/>
          <w:u w:val="none"/>
          <w:vertAlign w:val="baseline"/>
          <w:lang w:val="en-US" w:eastAsia="zh-CN"/>
        </w:rPr>
        <w:t>本级及有关项目、单位、公司</w:t>
      </w:r>
      <w:r>
        <w:rPr>
          <w:rFonts w:hint="default" w:ascii="Times New Roman" w:hAnsi="Times New Roman" w:eastAsia="宋体" w:cs="Times New Roman"/>
          <w:b w:val="0"/>
          <w:bCs w:val="0"/>
          <w:color w:val="auto"/>
          <w:sz w:val="21"/>
          <w:szCs w:val="21"/>
          <w:highlight w:val="none"/>
          <w:u w:val="none"/>
          <w:vertAlign w:val="baseline"/>
          <w:lang w:val="en-US" w:eastAsia="zh-CN"/>
        </w:rPr>
        <w:t>等。</w:t>
      </w:r>
    </w:p>
    <w:p w14:paraId="72373292">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pPr>
    </w:p>
    <w:p w14:paraId="2F747042">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pPr>
    </w:p>
    <w:p w14:paraId="693E8B34">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pPr>
    </w:p>
    <w:p w14:paraId="20DB8A44">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pPr>
    </w:p>
    <w:p w14:paraId="44B33885">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pPr>
    </w:p>
    <w:p w14:paraId="5B5B109D">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pPr>
    </w:p>
    <w:p w14:paraId="4A18BE5B">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pPr>
    </w:p>
    <w:p w14:paraId="2A900218">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pPr>
    </w:p>
    <w:p w14:paraId="4998B313">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pPr>
    </w:p>
    <w:p w14:paraId="562E8A4A">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pP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t>附表</w:t>
      </w:r>
      <w:r>
        <w:rPr>
          <w:rFonts w:hint="eastAsia" w:eastAsia="黑体" w:cs="Times New Roman"/>
          <w:b w:val="0"/>
          <w:bCs w:val="0"/>
          <w:color w:val="auto"/>
          <w:kern w:val="0"/>
          <w:sz w:val="32"/>
          <w:szCs w:val="32"/>
          <w:highlight w:val="none"/>
          <w:u w:val="none"/>
          <w:shd w:val="clear" w:color="auto" w:fill="FFFFFF"/>
          <w:lang w:val="en-US" w:eastAsia="zh-CN"/>
        </w:rPr>
        <w:t>3</w:t>
      </w:r>
    </w:p>
    <w:tbl>
      <w:tblPr>
        <w:tblStyle w:val="9"/>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52"/>
        <w:gridCol w:w="1081"/>
        <w:gridCol w:w="1250"/>
        <w:gridCol w:w="1312"/>
        <w:gridCol w:w="1127"/>
        <w:gridCol w:w="971"/>
        <w:gridCol w:w="1061"/>
        <w:gridCol w:w="938"/>
        <w:gridCol w:w="1841"/>
      </w:tblGrid>
      <w:tr w14:paraId="6D878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6" w:hRule="atLeast"/>
          <w:jc w:val="center"/>
        </w:trPr>
        <w:tc>
          <w:tcPr>
            <w:tcW w:w="10233" w:type="dxa"/>
            <w:gridSpan w:val="9"/>
            <w:noWrap w:val="0"/>
            <w:vAlign w:val="center"/>
          </w:tcPr>
          <w:p w14:paraId="72F29B04">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黑体" w:cs="Times New Roman"/>
                <w:i w:val="0"/>
                <w:color w:val="000000"/>
                <w:sz w:val="30"/>
                <w:szCs w:val="30"/>
                <w:u w:val="none"/>
              </w:rPr>
            </w:pPr>
            <w:r>
              <w:rPr>
                <w:rFonts w:hint="default" w:ascii="Times New Roman" w:hAnsi="Times New Roman" w:eastAsia="方正小标宋简体" w:cs="Times New Roman"/>
                <w:i w:val="0"/>
                <w:color w:val="000000"/>
                <w:kern w:val="0"/>
                <w:sz w:val="40"/>
                <w:szCs w:val="40"/>
                <w:u w:val="none"/>
                <w:lang w:val="en-US" w:eastAsia="zh-CN" w:bidi="ar"/>
              </w:rPr>
              <w:t>专项预算项目绩效目标完成情况自评表</w:t>
            </w:r>
          </w:p>
        </w:tc>
      </w:tr>
      <w:tr w14:paraId="67516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14:paraId="08BD0816">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项目名称</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44B30890">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r>
              <w:rPr>
                <w:rFonts w:hint="eastAsia" w:eastAsia="宋体" w:cs="Times New Roman"/>
                <w:i w:val="0"/>
                <w:color w:val="000000"/>
                <w:sz w:val="24"/>
                <w:szCs w:val="24"/>
                <w:u w:val="none"/>
                <w:lang w:val="en-US" w:eastAsia="zh-CN"/>
              </w:rPr>
              <w:t>阿坝州阿坝等7县局森林草原防火综合治理建设项目</w:t>
            </w:r>
          </w:p>
        </w:tc>
      </w:tr>
      <w:tr w14:paraId="07D31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8"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14:paraId="099E12DE">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预算单位</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06992CCD">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阿坝州林业和草原局</w:t>
            </w:r>
          </w:p>
        </w:tc>
      </w:tr>
      <w:tr w14:paraId="4B064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14:paraId="5CE87895">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项目类型</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1FAE0A6C">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3662A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noWrap w:val="0"/>
            <w:vAlign w:val="center"/>
          </w:tcPr>
          <w:p w14:paraId="3359CE23">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项目 概况</w:t>
            </w: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3F408593">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中长期规划（名称、文号，仅指</w:t>
            </w:r>
          </w:p>
          <w:p w14:paraId="5202E33C">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常年项目）</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1DFDD35F">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376D6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6671ED">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28B2A82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资金管理办法（名称、文号）</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448E9CBE">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3456A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2EE4F4">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14360A0C">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绩效分配方式</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390159FE">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Wingdings 2" w:cs="Times New Roman"/>
                <w:i w:val="0"/>
                <w:color w:val="000000"/>
                <w:sz w:val="24"/>
                <w:szCs w:val="24"/>
                <w:u w:val="none"/>
              </w:rPr>
            </w:pPr>
            <w:r>
              <w:rPr>
                <w:rFonts w:hint="default" w:ascii="Times New Roman" w:hAnsi="Times New Roman" w:eastAsia="Wingdings 2" w:cs="Times New Roman"/>
                <w:i w:val="0"/>
                <w:color w:val="000000"/>
                <w:kern w:val="0"/>
                <w:sz w:val="24"/>
                <w:szCs w:val="24"/>
                <w:u w:val="none"/>
                <w:lang w:val="en-US" w:eastAsia="zh-CN" w:bidi="ar"/>
              </w:rPr>
              <w:t>£</w:t>
            </w:r>
            <w:r>
              <w:rPr>
                <w:rFonts w:hint="default" w:ascii="Times New Roman" w:hAnsi="Times New Roman" w:eastAsia="宋体" w:cs="Times New Roman"/>
                <w:i w:val="0"/>
                <w:color w:val="000000"/>
                <w:kern w:val="0"/>
                <w:sz w:val="24"/>
                <w:szCs w:val="24"/>
                <w:u w:val="none"/>
                <w:lang w:val="en-US" w:eastAsia="zh-CN" w:bidi="ar"/>
              </w:rPr>
              <w:t>因素法</w:t>
            </w:r>
          </w:p>
        </w:tc>
        <w:tc>
          <w:tcPr>
            <w:tcW w:w="2032" w:type="dxa"/>
            <w:gridSpan w:val="2"/>
            <w:tcBorders>
              <w:top w:val="single" w:color="000000" w:sz="4" w:space="0"/>
              <w:left w:val="single" w:color="000000" w:sz="4" w:space="0"/>
              <w:bottom w:val="single" w:color="000000" w:sz="4" w:space="0"/>
              <w:right w:val="single" w:color="000000" w:sz="4" w:space="0"/>
            </w:tcBorders>
            <w:noWrap w:val="0"/>
            <w:vAlign w:val="center"/>
          </w:tcPr>
          <w:p w14:paraId="00A4B00B">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Wingdings 2" w:cs="Times New Roman"/>
                <w:i w:val="0"/>
                <w:color w:val="000000"/>
                <w:sz w:val="24"/>
                <w:szCs w:val="24"/>
                <w:u w:val="none"/>
              </w:rPr>
            </w:pPr>
            <w:r>
              <w:rPr>
                <w:rFonts w:hint="default" w:ascii="Times New Roman" w:hAnsi="Times New Roman" w:eastAsia="Wingdings 2" w:cs="Times New Roman"/>
                <w:i w:val="0"/>
                <w:color w:val="000000"/>
                <w:kern w:val="0"/>
                <w:sz w:val="24"/>
                <w:szCs w:val="24"/>
                <w:u w:val="none"/>
                <w:lang w:val="en-US" w:eastAsia="zh-CN" w:bidi="ar"/>
              </w:rPr>
              <w:t>£项目法</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9EB55F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Wingdings 2" w:cs="Times New Roman"/>
                <w:i w:val="0"/>
                <w:color w:val="000000"/>
                <w:sz w:val="24"/>
                <w:szCs w:val="24"/>
                <w:u w:val="none"/>
              </w:rPr>
            </w:pPr>
            <w:r>
              <w:rPr>
                <w:rFonts w:hint="default" w:ascii="Times New Roman" w:hAnsi="Times New Roman" w:eastAsia="Wingdings 2" w:cs="Times New Roman"/>
                <w:i w:val="0"/>
                <w:color w:val="000000"/>
                <w:kern w:val="0"/>
                <w:sz w:val="24"/>
                <w:szCs w:val="24"/>
                <w:u w:val="none"/>
                <w:lang w:val="en-US" w:eastAsia="zh-CN" w:bidi="ar"/>
              </w:rPr>
              <w:t>£</w:t>
            </w:r>
            <w:r>
              <w:rPr>
                <w:rFonts w:hint="default" w:ascii="Times New Roman" w:hAnsi="Times New Roman" w:eastAsia="宋体" w:cs="Times New Roman"/>
                <w:i w:val="0"/>
                <w:color w:val="000000"/>
                <w:kern w:val="0"/>
                <w:sz w:val="24"/>
                <w:szCs w:val="24"/>
                <w:u w:val="none"/>
                <w:lang w:val="en-US" w:eastAsia="zh-CN" w:bidi="ar"/>
              </w:rPr>
              <w:t>据实据效</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349CF1AC">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Wingdings 2" w:cs="Times New Roman"/>
                <w:i w:val="0"/>
                <w:color w:val="000000"/>
                <w:sz w:val="24"/>
                <w:szCs w:val="24"/>
                <w:u w:val="none"/>
              </w:rPr>
            </w:pPr>
            <w:r>
              <w:rPr>
                <w:rFonts w:hint="default" w:ascii="Times New Roman" w:hAnsi="Times New Roman" w:eastAsia="Wingdings 2" w:cs="Times New Roman"/>
                <w:i w:val="0"/>
                <w:color w:val="000000"/>
                <w:kern w:val="0"/>
                <w:sz w:val="24"/>
                <w:szCs w:val="24"/>
                <w:u w:val="none"/>
                <w:lang w:val="en-US" w:eastAsia="zh-CN" w:bidi="ar"/>
              </w:rPr>
              <w:t>£</w:t>
            </w:r>
            <w:r>
              <w:rPr>
                <w:rFonts w:hint="default" w:ascii="Times New Roman" w:hAnsi="Times New Roman" w:eastAsia="宋体" w:cs="Times New Roman"/>
                <w:i w:val="0"/>
                <w:color w:val="000000"/>
                <w:kern w:val="0"/>
                <w:sz w:val="24"/>
                <w:szCs w:val="24"/>
                <w:u w:val="none"/>
                <w:lang w:val="en-US" w:eastAsia="zh-CN" w:bidi="ar"/>
              </w:rPr>
              <w:t>因素法与项目法相结合</w:t>
            </w:r>
          </w:p>
        </w:tc>
      </w:tr>
      <w:tr w14:paraId="55230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23E3AC">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4B83E167">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立项依据</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5155C5F8">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5E80F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0F55AD">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22930A07">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使用范围</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0BCF5094">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02B3A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F8C85E">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560C27BD">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申报（补助）条件</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783C7C2B">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7268A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35FFB0">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7704840E">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项目起止年限</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7F0F1837">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r>
      <w:tr w14:paraId="03B4F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33"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46683EEB">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项目资金</w:t>
            </w:r>
          </w:p>
          <w:p w14:paraId="19020496">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（万元）</w:t>
            </w: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14:paraId="14E1A6C5">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righ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 xml:space="preserve">  年度资金总额：</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362D55E1">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3093</w:t>
            </w:r>
          </w:p>
        </w:tc>
      </w:tr>
      <w:tr w14:paraId="2B80E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C70EB1B">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14:paraId="0DBE17AC">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 xml:space="preserve">      其中：财政拨款</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5573978C">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3093</w:t>
            </w:r>
          </w:p>
        </w:tc>
      </w:tr>
      <w:tr w14:paraId="59B3E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7A2E142">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14:paraId="1E084E9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 xml:space="preserve">            其他资金</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668FC5EE">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05447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noWrap w:val="0"/>
            <w:vAlign w:val="center"/>
          </w:tcPr>
          <w:p w14:paraId="4336C2E7">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总体 目标</w:t>
            </w:r>
          </w:p>
        </w:tc>
        <w:tc>
          <w:tcPr>
            <w:tcW w:w="9581" w:type="dxa"/>
            <w:gridSpan w:val="8"/>
            <w:tcBorders>
              <w:top w:val="single" w:color="000000" w:sz="4" w:space="0"/>
              <w:left w:val="single" w:color="000000" w:sz="4" w:space="0"/>
              <w:bottom w:val="single" w:color="000000" w:sz="4" w:space="0"/>
              <w:right w:val="single" w:color="000000" w:sz="4" w:space="0"/>
            </w:tcBorders>
            <w:noWrap w:val="0"/>
            <w:vAlign w:val="center"/>
          </w:tcPr>
          <w:p w14:paraId="6169809D">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年度目标</w:t>
            </w:r>
          </w:p>
        </w:tc>
      </w:tr>
      <w:tr w14:paraId="5BCAD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B58D15">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9581" w:type="dxa"/>
            <w:gridSpan w:val="8"/>
            <w:tcBorders>
              <w:top w:val="single" w:color="000000" w:sz="4" w:space="0"/>
              <w:left w:val="single" w:color="000000" w:sz="4" w:space="0"/>
              <w:bottom w:val="single" w:color="000000" w:sz="4" w:space="0"/>
              <w:right w:val="single" w:color="000000" w:sz="4" w:space="0"/>
            </w:tcBorders>
            <w:noWrap w:val="0"/>
            <w:vAlign w:val="center"/>
          </w:tcPr>
          <w:p w14:paraId="6E53FBA1">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2025年全面完成项目建设并交付使用。</w:t>
            </w:r>
          </w:p>
        </w:tc>
      </w:tr>
      <w:tr w14:paraId="1022D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tcBorders>
            <w:noWrap w:val="0"/>
            <w:vAlign w:val="center"/>
          </w:tcPr>
          <w:p w14:paraId="3AE2316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绩效 指标</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9459D2">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一级指标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496A805A">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二级指标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65EA9BB0">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三级指标</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276FADB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指标性质</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055370F2">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指标值</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7F7DF9E6">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度量单位</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274C6FB">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权重</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213492C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实际完成指标值</w:t>
            </w:r>
          </w:p>
        </w:tc>
      </w:tr>
      <w:tr w14:paraId="6A04B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1944C03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restart"/>
            <w:tcBorders>
              <w:top w:val="single" w:color="000000" w:sz="4" w:space="0"/>
              <w:left w:val="single" w:color="000000" w:sz="4" w:space="0"/>
              <w:bottom w:val="single" w:color="000000" w:sz="4" w:space="0"/>
              <w:right w:val="single" w:color="000000" w:sz="4" w:space="0"/>
            </w:tcBorders>
            <w:noWrap w:val="0"/>
            <w:vAlign w:val="center"/>
          </w:tcPr>
          <w:p w14:paraId="18C86323">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产出指标</w:t>
            </w:r>
          </w:p>
        </w:tc>
        <w:tc>
          <w:tcPr>
            <w:tcW w:w="1250" w:type="dxa"/>
            <w:vMerge w:val="restart"/>
            <w:tcBorders>
              <w:top w:val="single" w:color="000000" w:sz="4" w:space="0"/>
              <w:left w:val="single" w:color="000000" w:sz="4" w:space="0"/>
              <w:bottom w:val="single" w:color="000000" w:sz="4" w:space="0"/>
              <w:right w:val="single" w:color="000000" w:sz="4" w:space="0"/>
            </w:tcBorders>
            <w:noWrap w:val="0"/>
            <w:vAlign w:val="center"/>
          </w:tcPr>
          <w:p w14:paraId="2E6B65B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数量指标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7DEFCFCF">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项目数量</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794BEA1E">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ascii="宋体" w:hAnsi="宋体" w:eastAsia="宋体" w:cs="宋体"/>
                <w:i w:val="0"/>
                <w:iCs w:val="0"/>
                <w:color w:val="000000"/>
                <w:kern w:val="0"/>
                <w:sz w:val="18"/>
                <w:szCs w:val="18"/>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0BDBE517">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Times New Roman" w:hAnsi="Times New Roman" w:eastAsia="宋体" w:cs="Times New Roman"/>
                <w:i w:val="0"/>
                <w:iCs w:val="0"/>
                <w:color w:val="000000"/>
                <w:kern w:val="0"/>
                <w:sz w:val="24"/>
                <w:szCs w:val="24"/>
                <w:u w:val="none"/>
                <w:lang w:val="en-US" w:eastAsia="zh-CN" w:bidi="ar"/>
              </w:rPr>
              <w:t>1</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1A6789F8">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D033F2B">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577DB1D2">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w:t>
            </w:r>
          </w:p>
        </w:tc>
      </w:tr>
      <w:tr w14:paraId="77B4E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745CC39C">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5A197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EB91A6">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5F3EF279">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0750502C">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12B66A60">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0107DB5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029B43F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738912E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479AD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7965F5F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ABE8E0">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restart"/>
            <w:tcBorders>
              <w:top w:val="single" w:color="000000" w:sz="4" w:space="0"/>
              <w:left w:val="single" w:color="000000" w:sz="4" w:space="0"/>
              <w:bottom w:val="single" w:color="000000" w:sz="4" w:space="0"/>
              <w:right w:val="single" w:color="000000" w:sz="4" w:space="0"/>
            </w:tcBorders>
            <w:noWrap w:val="0"/>
            <w:vAlign w:val="center"/>
          </w:tcPr>
          <w:p w14:paraId="257A3DED">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质量指标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1C59B136">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项目开工率</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2AF54AC8">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25BC1AEE">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0F8050A5">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449D1B6">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1C8EE392">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lang w:val="en-US"/>
              </w:rPr>
            </w:pPr>
            <w:r>
              <w:rPr>
                <w:rFonts w:hint="eastAsia" w:eastAsia="宋体" w:cs="Times New Roman"/>
                <w:i w:val="0"/>
                <w:iCs w:val="0"/>
                <w:color w:val="000000" w:themeColor="text1"/>
                <w:kern w:val="0"/>
                <w:sz w:val="24"/>
                <w:szCs w:val="24"/>
                <w:u w:val="none"/>
                <w:lang w:val="en-US" w:eastAsia="zh-CN" w:bidi="ar"/>
                <w14:textFill>
                  <w14:solidFill>
                    <w14:schemeClr w14:val="tx1"/>
                  </w14:solidFill>
                </w14:textFill>
              </w:rPr>
              <w:t>10</w:t>
            </w:r>
          </w:p>
        </w:tc>
      </w:tr>
      <w:tr w14:paraId="1A48F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43788C90">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AEAE5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7218FD">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66EF11B7">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647EB2C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3E2173BB">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794D5AE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E3ECB5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6444DAD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2A85A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00139C2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8E702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restart"/>
            <w:tcBorders>
              <w:top w:val="single" w:color="000000" w:sz="4" w:space="0"/>
              <w:left w:val="single" w:color="000000" w:sz="4" w:space="0"/>
              <w:bottom w:val="single" w:color="000000" w:sz="4" w:space="0"/>
              <w:right w:val="single" w:color="000000" w:sz="4" w:space="0"/>
            </w:tcBorders>
            <w:noWrap w:val="0"/>
            <w:vAlign w:val="center"/>
          </w:tcPr>
          <w:p w14:paraId="5CE8DCB3">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时效指标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2267270D">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建设时限</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16C9128C">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51365EEF">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578E019C">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42ADD1E">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4C58EB74">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r>
      <w:tr w14:paraId="1A1DD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312DAC4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CD405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1771DC">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29C813E5">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4098E626">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26C95CEC">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49651FE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49143D2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27A99616">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28EFF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0222DD3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33718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3C846CE0">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41177A1D">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07A3C60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6A878D6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6BDB5D6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FA20C3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7D52505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01B05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7F3F0299">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restart"/>
            <w:tcBorders>
              <w:top w:val="single" w:color="000000" w:sz="4" w:space="0"/>
              <w:left w:val="single" w:color="000000" w:sz="4" w:space="0"/>
              <w:bottom w:val="single" w:color="000000" w:sz="4" w:space="0"/>
              <w:right w:val="single" w:color="000000" w:sz="4" w:space="0"/>
            </w:tcBorders>
            <w:noWrap w:val="0"/>
            <w:vAlign w:val="center"/>
          </w:tcPr>
          <w:p w14:paraId="6C04DF53">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效益指标</w:t>
            </w:r>
          </w:p>
        </w:tc>
        <w:tc>
          <w:tcPr>
            <w:tcW w:w="1250" w:type="dxa"/>
            <w:vMerge w:val="restart"/>
            <w:tcBorders>
              <w:top w:val="single" w:color="000000" w:sz="4" w:space="0"/>
              <w:left w:val="single" w:color="000000" w:sz="4" w:space="0"/>
              <w:bottom w:val="single" w:color="000000" w:sz="4" w:space="0"/>
              <w:right w:val="single" w:color="000000" w:sz="4" w:space="0"/>
            </w:tcBorders>
            <w:noWrap w:val="0"/>
            <w:vAlign w:val="center"/>
          </w:tcPr>
          <w:p w14:paraId="30C59E92">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经济效益</w:t>
            </w:r>
          </w:p>
          <w:p w14:paraId="43BF780B">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5828F3BC">
            <w:pPr>
              <w:keepNext w:val="0"/>
              <w:keepLines w:val="0"/>
              <w:widowControl/>
              <w:suppressLineNumbers w:val="0"/>
              <w:jc w:val="both"/>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通过减少森林火灾造成的损失，间接体现经济效益。</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4056A60A">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定性</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1D55961D">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优</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6F111AEE">
            <w:pPr>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3D8B671">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3358D518">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14:paraId="3099C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00BF293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2D7CEB">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C8862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7AF56994">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1C91B9F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17BA816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390ADF4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43043C2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6E29C756">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19D16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09FE90B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9F2C44">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restart"/>
            <w:tcBorders>
              <w:top w:val="single" w:color="000000" w:sz="4" w:space="0"/>
              <w:left w:val="single" w:color="000000" w:sz="4" w:space="0"/>
              <w:right w:val="single" w:color="000000" w:sz="4" w:space="0"/>
            </w:tcBorders>
            <w:noWrap w:val="0"/>
            <w:vAlign w:val="center"/>
          </w:tcPr>
          <w:p w14:paraId="4202ABCE">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社会效益</w:t>
            </w:r>
          </w:p>
          <w:p w14:paraId="681FAAC2">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24C082C4">
            <w:pPr>
              <w:keepNext w:val="0"/>
              <w:keepLines w:val="0"/>
              <w:widowControl/>
              <w:suppressLineNumbers w:val="0"/>
              <w:jc w:val="both"/>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保护森林资源，改善生态环境。</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5C163588">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定性</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161DDFC0">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优</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6BC25294">
            <w:pPr>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E4C95B4">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4DDA3930">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14:paraId="44F09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65079134">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8BD6C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continue"/>
            <w:tcBorders>
              <w:top w:val="single" w:color="000000" w:sz="4" w:space="0"/>
              <w:left w:val="single" w:color="000000" w:sz="4" w:space="0"/>
              <w:right w:val="single" w:color="000000" w:sz="4" w:space="0"/>
            </w:tcBorders>
            <w:noWrap w:val="0"/>
            <w:vAlign w:val="center"/>
          </w:tcPr>
          <w:p w14:paraId="470ABE7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779B095B">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2709201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4DDEDF46">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485A77A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71D72BE9">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7BDA377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0C69C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5011441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36B72D">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1A648560">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7A0D654A">
            <w:pPr>
              <w:keepNext w:val="0"/>
              <w:keepLines w:val="0"/>
              <w:widowControl/>
              <w:suppressLineNumbers w:val="0"/>
              <w:jc w:val="both"/>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提高项目区森林火灾综合防控能力。</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019775A9">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定性</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7262EA48">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优</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6BA28AC0">
            <w:pPr>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126B35BE">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21C7C524">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14:paraId="0FF09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66666EF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tcBorders>
              <w:top w:val="single" w:color="000000" w:sz="4" w:space="0"/>
              <w:left w:val="single" w:color="000000" w:sz="4" w:space="0"/>
              <w:right w:val="single" w:color="000000" w:sz="4" w:space="0"/>
            </w:tcBorders>
            <w:noWrap w:val="0"/>
            <w:vAlign w:val="center"/>
          </w:tcPr>
          <w:p w14:paraId="4121A52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满意度</w:t>
            </w:r>
          </w:p>
          <w:p w14:paraId="2BB36EF2">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w:t>
            </w:r>
          </w:p>
        </w:tc>
        <w:tc>
          <w:tcPr>
            <w:tcW w:w="1250" w:type="dxa"/>
            <w:tcBorders>
              <w:top w:val="single" w:color="000000" w:sz="4" w:space="0"/>
              <w:left w:val="single" w:color="000000" w:sz="4" w:space="0"/>
              <w:right w:val="single" w:color="000000" w:sz="4" w:space="0"/>
            </w:tcBorders>
            <w:noWrap w:val="0"/>
            <w:vAlign w:val="center"/>
          </w:tcPr>
          <w:p w14:paraId="254D003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服务对象</w:t>
            </w:r>
          </w:p>
          <w:p w14:paraId="2E54D654">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满意度指标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5395EFFA">
            <w:pPr>
              <w:keepNext w:val="0"/>
              <w:keepLines w:val="0"/>
              <w:widowControl/>
              <w:suppressLineNumbers w:val="0"/>
              <w:jc w:val="both"/>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受益群众满意度。</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397860E6">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23AAFDD4">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4A4D5556">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AF2F92F">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2A390096">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14:paraId="5A486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1FB2458C">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restart"/>
            <w:tcBorders>
              <w:top w:val="single" w:color="000000" w:sz="4" w:space="0"/>
              <w:left w:val="single" w:color="000000" w:sz="4" w:space="0"/>
              <w:bottom w:val="single" w:color="000000" w:sz="4" w:space="0"/>
              <w:right w:val="single" w:color="000000" w:sz="4" w:space="0"/>
            </w:tcBorders>
            <w:noWrap w:val="0"/>
            <w:vAlign w:val="center"/>
          </w:tcPr>
          <w:p w14:paraId="631D5A37">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成本指标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49A93B90">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经济成本</w:t>
            </w:r>
          </w:p>
          <w:p w14:paraId="7A15131B">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w:t>
            </w:r>
          </w:p>
        </w:tc>
        <w:tc>
          <w:tcPr>
            <w:tcW w:w="1312" w:type="dxa"/>
            <w:tcBorders>
              <w:top w:val="single" w:color="000000" w:sz="4" w:space="0"/>
              <w:bottom w:val="single" w:color="000000" w:sz="4" w:space="0"/>
              <w:right w:val="single" w:color="000000" w:sz="4" w:space="0"/>
            </w:tcBorders>
            <w:noWrap w:val="0"/>
            <w:vAlign w:val="center"/>
          </w:tcPr>
          <w:p w14:paraId="637E48AE">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资金支付率</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0E0CB106">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503E3A1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3093</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13DE3C15">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万元</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E73B0B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20</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7C892B3D">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15</w:t>
            </w:r>
          </w:p>
        </w:tc>
      </w:tr>
      <w:tr w14:paraId="45207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0FD5B1D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413801">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167B2122">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w:t>
            </w:r>
          </w:p>
        </w:tc>
        <w:tc>
          <w:tcPr>
            <w:tcW w:w="1312" w:type="dxa"/>
            <w:tcBorders>
              <w:top w:val="single" w:color="000000" w:sz="4" w:space="0"/>
              <w:bottom w:val="single" w:color="000000" w:sz="4" w:space="0"/>
              <w:right w:val="single" w:color="000000" w:sz="4" w:space="0"/>
            </w:tcBorders>
            <w:noWrap w:val="0"/>
            <w:vAlign w:val="center"/>
          </w:tcPr>
          <w:p w14:paraId="59C61C01">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7EA0268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7AE092A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53439E6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9F8D31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3714483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bl>
    <w:p w14:paraId="1E92E5F9">
      <w:pPr>
        <w:pStyle w:val="8"/>
        <w:keepNext w:val="0"/>
        <w:keepLines w:val="0"/>
        <w:pageBreakBefore w:val="0"/>
        <w:widowControl w:val="0"/>
        <w:kinsoku/>
        <w:wordWrap/>
        <w:overflowPunct/>
        <w:topLinePunct w:val="0"/>
        <w:autoSpaceDE/>
        <w:autoSpaceDN/>
        <w:bidi w:val="0"/>
        <w:adjustRightInd/>
        <w:snapToGrid/>
        <w:spacing w:after="0" w:line="20" w:lineRule="exact"/>
        <w:ind w:left="0" w:leftChars="0"/>
        <w:textAlignment w:val="auto"/>
        <w:rPr>
          <w:rFonts w:hint="default" w:ascii="Times New Roman" w:hAnsi="Times New Roman" w:eastAsia="黑体" w:cs="Times New Roman"/>
          <w:sz w:val="24"/>
          <w:szCs w:val="24"/>
          <w:highlight w:val="none"/>
          <w:lang w:val="en-US" w:eastAsia="zh-CN"/>
        </w:rPr>
      </w:pPr>
    </w:p>
    <w:p w14:paraId="154ED616"/>
    <w:sectPr>
      <w:footerReference r:id="rId3" w:type="default"/>
      <w:pgSz w:w="11906" w:h="16838"/>
      <w:pgMar w:top="1440" w:right="1797" w:bottom="1440" w:left="179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Wingdings 2">
    <w:altName w:val="Wingdings"/>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2CD6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49EAFC">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A49EAFC">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2B66B0"/>
    <w:rsid w:val="09D924C6"/>
    <w:rsid w:val="15113F90"/>
    <w:rsid w:val="19E2292A"/>
    <w:rsid w:val="20F04818"/>
    <w:rsid w:val="267E514F"/>
    <w:rsid w:val="28C34BCD"/>
    <w:rsid w:val="298A640A"/>
    <w:rsid w:val="312B66B0"/>
    <w:rsid w:val="379C734C"/>
    <w:rsid w:val="37E5384A"/>
    <w:rsid w:val="3A563E3D"/>
    <w:rsid w:val="3B7B35B3"/>
    <w:rsid w:val="3FC56BE1"/>
    <w:rsid w:val="55D27B43"/>
    <w:rsid w:val="5A3E06AB"/>
    <w:rsid w:val="6CA95923"/>
    <w:rsid w:val="6E7A1906"/>
    <w:rsid w:val="731E5D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widowControl/>
      <w:tabs>
        <w:tab w:val="left" w:pos="2160"/>
      </w:tabs>
      <w:spacing w:line="480" w:lineRule="auto"/>
      <w:jc w:val="left"/>
    </w:pPr>
    <w:rPr>
      <w:rFonts w:ascii="楷体_GB2312" w:eastAsia="黑体"/>
      <w:kern w:val="0"/>
      <w:position w:val="3"/>
      <w:sz w:val="20"/>
      <w:szCs w:val="20"/>
      <w:lang w:eastAsia="en-US"/>
    </w:rPr>
  </w:style>
  <w:style w:type="paragraph" w:styleId="3">
    <w:name w:val="Body Text Indent"/>
    <w:basedOn w:val="1"/>
    <w:qFormat/>
    <w:uiPriority w:val="0"/>
    <w:pPr>
      <w:spacing w:after="120"/>
      <w:ind w:leftChars="200"/>
    </w:pPr>
    <w:rPr>
      <w:rFonts w:ascii="仿宋_GB2312"/>
      <w:szCs w:val="32"/>
    </w:rPr>
  </w:style>
  <w:style w:type="paragraph" w:styleId="4">
    <w:name w:val="List 2"/>
    <w:basedOn w:val="1"/>
    <w:qFormat/>
    <w:uiPriority w:val="0"/>
    <w:pPr>
      <w:ind w:left="400" w:leftChars="200" w:hanging="200" w:hangingChars="200"/>
    </w:pPr>
  </w:style>
  <w:style w:type="paragraph" w:styleId="5">
    <w:name w:val="footer"/>
    <w:basedOn w:val="1"/>
    <w:unhideWhenUsed/>
    <w:qFormat/>
    <w:uiPriority w:val="99"/>
    <w:pPr>
      <w:tabs>
        <w:tab w:val="center" w:pos="4153"/>
        <w:tab w:val="right" w:pos="8306"/>
      </w:tabs>
      <w:snapToGrid w:val="0"/>
      <w:jc w:val="left"/>
    </w:pPr>
    <w:rPr>
      <w:sz w:val="18"/>
      <w:szCs w:val="18"/>
      <w:lang w:val="zh-CN" w:eastAsia="zh-CN"/>
    </w:rPr>
  </w:style>
  <w:style w:type="paragraph" w:styleId="6">
    <w:name w:val="toc 1"/>
    <w:basedOn w:val="1"/>
    <w:next w:val="1"/>
    <w:qFormat/>
    <w:uiPriority w:val="0"/>
  </w:style>
  <w:style w:type="paragraph" w:styleId="7">
    <w:name w:val="Subtitle"/>
    <w:basedOn w:val="1"/>
    <w:next w:val="1"/>
    <w:qFormat/>
    <w:uiPriority w:val="0"/>
    <w:pPr>
      <w:spacing w:before="240" w:after="60" w:line="312" w:lineRule="auto"/>
      <w:jc w:val="center"/>
      <w:outlineLvl w:val="1"/>
    </w:pPr>
    <w:rPr>
      <w:rFonts w:ascii="Arial" w:hAnsi="Arial" w:cs="Arial"/>
      <w:b/>
      <w:bCs/>
      <w:kern w:val="28"/>
      <w:sz w:val="32"/>
      <w:szCs w:val="32"/>
      <w:lang w:bidi="ar-SA"/>
    </w:rPr>
  </w:style>
  <w:style w:type="paragraph" w:styleId="8">
    <w:name w:val="Body Text First Indent 2"/>
    <w:basedOn w:val="3"/>
    <w:unhideWhenUsed/>
    <w:qFormat/>
    <w:uiPriority w:val="99"/>
    <w:pPr>
      <w:ind w:firstLine="42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3464</Words>
  <Characters>3593</Characters>
  <Lines>0</Lines>
  <Paragraphs>0</Paragraphs>
  <TotalTime>146</TotalTime>
  <ScaleCrop>false</ScaleCrop>
  <LinksUpToDate>false</LinksUpToDate>
  <CharactersWithSpaces>3602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2024-07-23T04:13:00Z</dcterms:created>
  <dc:creator>春风暖暖笑意浓</dc:creator>
  <cp:lastModifiedBy>春风暖暖笑意浓</cp:lastModifiedBy>
  <dcterms:modified xsi:type="dcterms:W3CDTF">2025-04-10T03:06:00Z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F043D90D8F5A4C90814F89EBECC13839</vt:lpwstr>
  </property>
  <property fmtid="{D5CDD505-2E9C-101B-9397-08002B2CF9AE}" pid="4" name="KSOTemplateDocerSaveRecord">
    <vt:lpwstr>eyJoZGlkIjoiZmEzNWZjOTgxNmEwMWRhYjJmMmYwZGM3ZDU1OTliNjgiLCJ1c2VySWQiOiI1MzU5MTI1ODUifQ==</vt:lpwstr>
  </property>
</Properties>
</file>